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759C3" w14:textId="77777777" w:rsidR="00437EDC" w:rsidRPr="00983CAE" w:rsidRDefault="00AB085D" w:rsidP="00DF2F62">
      <w:pPr>
        <w:spacing w:after="240"/>
        <w:jc w:val="center"/>
        <w:rPr>
          <w:rFonts w:cs="Helvetica"/>
          <w:b/>
          <w:sz w:val="26"/>
          <w:szCs w:val="26"/>
        </w:rPr>
      </w:pPr>
      <w:r>
        <w:rPr>
          <w:rFonts w:cs="Helvetica"/>
          <w:b/>
          <w:sz w:val="26"/>
          <w:szCs w:val="26"/>
        </w:rPr>
        <w:t xml:space="preserve">Oppose the </w:t>
      </w:r>
      <w:r w:rsidRPr="00AB085D">
        <w:rPr>
          <w:rFonts w:cs="Helvetica"/>
          <w:b/>
          <w:sz w:val="26"/>
          <w:szCs w:val="26"/>
        </w:rPr>
        <w:t>ADA Education and Reform Act of 2017 (H.R. 620)</w:t>
      </w:r>
    </w:p>
    <w:p w14:paraId="2C0E1B02" w14:textId="1973363F" w:rsidR="00437EDC" w:rsidRDefault="00AB085D" w:rsidP="00437EDC">
      <w:pPr>
        <w:pBdr>
          <w:top w:val="single" w:sz="36" w:space="1" w:color="800080"/>
          <w:left w:val="single" w:sz="36" w:space="0" w:color="800080"/>
          <w:bottom w:val="single" w:sz="36" w:space="1" w:color="800080"/>
          <w:right w:val="single" w:sz="36" w:space="10" w:color="800080"/>
        </w:pBdr>
        <w:jc w:val="center"/>
        <w:rPr>
          <w:rFonts w:cs="Helvetica"/>
          <w:b/>
          <w:sz w:val="24"/>
        </w:rPr>
      </w:pPr>
      <w:r w:rsidRPr="00AB085D">
        <w:rPr>
          <w:rFonts w:cs="Helvetica"/>
          <w:b/>
          <w:sz w:val="24"/>
        </w:rPr>
        <w:t xml:space="preserve">The ADA Education and Reform Act of 2017 would </w:t>
      </w:r>
      <w:r w:rsidR="00FA4F32">
        <w:rPr>
          <w:rFonts w:cs="Helvetica"/>
          <w:b/>
          <w:sz w:val="24"/>
        </w:rPr>
        <w:t xml:space="preserve">undermine </w:t>
      </w:r>
      <w:r w:rsidRPr="00AB085D">
        <w:rPr>
          <w:rFonts w:cs="Helvetica"/>
          <w:b/>
          <w:sz w:val="24"/>
        </w:rPr>
        <w:t xml:space="preserve">the ADA </w:t>
      </w:r>
      <w:r w:rsidR="00FA4F32">
        <w:rPr>
          <w:rFonts w:cs="Helvetica"/>
          <w:b/>
          <w:sz w:val="24"/>
        </w:rPr>
        <w:t>by significantly eroding equal access protections and progress made over nearly three decades</w:t>
      </w:r>
      <w:r w:rsidRPr="00AB085D">
        <w:rPr>
          <w:rFonts w:cs="Helvetica"/>
          <w:b/>
          <w:sz w:val="24"/>
        </w:rPr>
        <w:t>.</w:t>
      </w:r>
    </w:p>
    <w:p w14:paraId="342ED7E5" w14:textId="77777777" w:rsidR="00437EDC" w:rsidRPr="003B3C76" w:rsidRDefault="00437EDC" w:rsidP="00437EDC">
      <w:pPr>
        <w:rPr>
          <w:rFonts w:ascii="Arial" w:hAnsi="Arial" w:cs="Arial"/>
          <w:b/>
          <w:color w:val="FF0000"/>
          <w:sz w:val="20"/>
          <w:szCs w:val="20"/>
        </w:rPr>
      </w:pPr>
    </w:p>
    <w:p w14:paraId="65495BF9" w14:textId="27732F0A" w:rsidR="00263144" w:rsidRDefault="00263144" w:rsidP="00A55A8A">
      <w:pPr>
        <w:rPr>
          <w:rFonts w:cs="Helvetica"/>
          <w:b/>
          <w:color w:val="FF0000"/>
          <w:sz w:val="24"/>
        </w:rPr>
      </w:pPr>
      <w:r>
        <w:rPr>
          <w:rFonts w:cs="Helvetica"/>
          <w:b/>
          <w:color w:val="FF0000"/>
          <w:sz w:val="24"/>
        </w:rPr>
        <w:t xml:space="preserve">In 1990 the </w:t>
      </w:r>
      <w:r w:rsidR="00FA4F32">
        <w:rPr>
          <w:rFonts w:cs="Helvetica"/>
          <w:b/>
          <w:color w:val="FF0000"/>
          <w:sz w:val="24"/>
        </w:rPr>
        <w:t xml:space="preserve">landmark </w:t>
      </w:r>
      <w:r>
        <w:rPr>
          <w:rFonts w:cs="Helvetica"/>
          <w:b/>
          <w:color w:val="FF0000"/>
          <w:sz w:val="24"/>
        </w:rPr>
        <w:t xml:space="preserve">Americans </w:t>
      </w:r>
      <w:r w:rsidR="002D2007">
        <w:rPr>
          <w:rFonts w:cs="Helvetica"/>
          <w:b/>
          <w:color w:val="FF0000"/>
          <w:sz w:val="24"/>
        </w:rPr>
        <w:t>w</w:t>
      </w:r>
      <w:r>
        <w:rPr>
          <w:rFonts w:cs="Helvetica"/>
          <w:b/>
          <w:color w:val="FF0000"/>
          <w:sz w:val="24"/>
        </w:rPr>
        <w:t xml:space="preserve">ith Disabilities Act (ADA) was passed with broad bipartisan support. </w:t>
      </w:r>
      <w:r w:rsidRPr="00C63D14">
        <w:rPr>
          <w:rFonts w:cs="Helvetica"/>
          <w:sz w:val="24"/>
        </w:rPr>
        <w:t xml:space="preserve">After years of advocacy by people with disabilities and extensive negotiations with the business community, a compromise was reached which balanced the cost to businesses of accommodating people with disabilities with the desperate need to eliminate the physical and systemic barriers that were isolating </w:t>
      </w:r>
      <w:r w:rsidR="00832F2E" w:rsidRPr="00C63D14">
        <w:rPr>
          <w:rFonts w:cs="Helvetica"/>
          <w:sz w:val="24"/>
        </w:rPr>
        <w:t xml:space="preserve">them </w:t>
      </w:r>
      <w:r w:rsidRPr="00C63D14">
        <w:rPr>
          <w:rFonts w:cs="Helvetica"/>
          <w:sz w:val="24"/>
        </w:rPr>
        <w:t xml:space="preserve">from the rest of society and denying them educational, </w:t>
      </w:r>
      <w:r w:rsidR="00034FAD" w:rsidRPr="00C63D14">
        <w:rPr>
          <w:rFonts w:cs="Helvetica"/>
          <w:sz w:val="24"/>
        </w:rPr>
        <w:t>economic, and</w:t>
      </w:r>
      <w:r w:rsidRPr="00C63D14">
        <w:rPr>
          <w:rFonts w:cs="Helvetica"/>
          <w:sz w:val="24"/>
        </w:rPr>
        <w:t xml:space="preserve"> employment opportunities. </w:t>
      </w:r>
      <w:r w:rsidR="00034FAD" w:rsidRPr="00C63D14">
        <w:rPr>
          <w:rFonts w:cs="Helvetica"/>
          <w:sz w:val="24"/>
        </w:rPr>
        <w:t>Over</w:t>
      </w:r>
      <w:r w:rsidRPr="00C63D14">
        <w:rPr>
          <w:rFonts w:cs="Helvetica"/>
          <w:sz w:val="24"/>
        </w:rPr>
        <w:t xml:space="preserve"> </w:t>
      </w:r>
      <w:r w:rsidR="00832F2E" w:rsidRPr="00C63D14">
        <w:rPr>
          <w:rFonts w:cs="Helvetica"/>
          <w:sz w:val="24"/>
        </w:rPr>
        <w:t>tw</w:t>
      </w:r>
      <w:r w:rsidR="001A2570" w:rsidRPr="00C63D14">
        <w:rPr>
          <w:rFonts w:cs="Helvetica"/>
          <w:sz w:val="24"/>
        </w:rPr>
        <w:t>en</w:t>
      </w:r>
      <w:r w:rsidR="00832F2E" w:rsidRPr="00C63D14">
        <w:rPr>
          <w:rFonts w:cs="Helvetica"/>
          <w:sz w:val="24"/>
        </w:rPr>
        <w:t>ty</w:t>
      </w:r>
      <w:r w:rsidRPr="00C63D14">
        <w:rPr>
          <w:rFonts w:cs="Helvetica"/>
          <w:sz w:val="24"/>
        </w:rPr>
        <w:t xml:space="preserve">-seven years later, while much still needs to be done, the </w:t>
      </w:r>
      <w:r w:rsidR="001A2570" w:rsidRPr="00C63D14">
        <w:rPr>
          <w:rFonts w:cs="Helvetica"/>
          <w:sz w:val="24"/>
        </w:rPr>
        <w:t>A</w:t>
      </w:r>
      <w:r w:rsidRPr="00C63D14">
        <w:rPr>
          <w:rFonts w:cs="Helvetica"/>
          <w:sz w:val="24"/>
        </w:rPr>
        <w:t xml:space="preserve">DA has tremendously benefitted the blind and </w:t>
      </w:r>
      <w:r w:rsidR="00C63D14">
        <w:rPr>
          <w:rFonts w:cs="Helvetica"/>
          <w:sz w:val="24"/>
        </w:rPr>
        <w:t>others, with and without disabilities</w:t>
      </w:r>
      <w:r w:rsidRPr="00C63D14">
        <w:rPr>
          <w:rFonts w:cs="Helvetica"/>
          <w:sz w:val="24"/>
        </w:rPr>
        <w:t>. The blind</w:t>
      </w:r>
      <w:r w:rsidR="00C63D14">
        <w:rPr>
          <w:rFonts w:cs="Helvetica"/>
          <w:sz w:val="24"/>
        </w:rPr>
        <w:t xml:space="preserve"> </w:t>
      </w:r>
      <w:r w:rsidRPr="00C63D14">
        <w:rPr>
          <w:rFonts w:cs="Helvetica"/>
          <w:sz w:val="24"/>
        </w:rPr>
        <w:t xml:space="preserve">have more access and more ability to participate in economic and community life than we have ever had, while businesses have an expanded customer base, and many accommodations that benefit people with disabilities also benefit others. Now, </w:t>
      </w:r>
      <w:r w:rsidR="00A55A8A" w:rsidRPr="00C63D14">
        <w:rPr>
          <w:rFonts w:cs="Helvetica"/>
          <w:sz w:val="24"/>
        </w:rPr>
        <w:t xml:space="preserve">H.R. 620 </w:t>
      </w:r>
      <w:r w:rsidR="001A2570" w:rsidRPr="00C63D14">
        <w:rPr>
          <w:rFonts w:cs="Helvetica"/>
          <w:sz w:val="24"/>
        </w:rPr>
        <w:t>(</w:t>
      </w:r>
      <w:r w:rsidRPr="00C63D14">
        <w:rPr>
          <w:rFonts w:cs="Helvetica"/>
          <w:sz w:val="24"/>
        </w:rPr>
        <w:t>and other proposed A</w:t>
      </w:r>
      <w:r w:rsidR="001A2570" w:rsidRPr="00C63D14">
        <w:rPr>
          <w:rFonts w:cs="Helvetica"/>
          <w:sz w:val="24"/>
        </w:rPr>
        <w:t>DA</w:t>
      </w:r>
      <w:r w:rsidRPr="00C63D14">
        <w:rPr>
          <w:rFonts w:cs="Helvetica"/>
          <w:sz w:val="24"/>
        </w:rPr>
        <w:t xml:space="preserve"> “notification” or “reform” bills</w:t>
      </w:r>
      <w:r w:rsidR="001A2570" w:rsidRPr="00C63D14">
        <w:rPr>
          <w:rFonts w:cs="Helvetica"/>
          <w:sz w:val="24"/>
        </w:rPr>
        <w:t>)</w:t>
      </w:r>
      <w:r w:rsidRPr="00C63D14">
        <w:rPr>
          <w:rFonts w:cs="Helvetica"/>
          <w:sz w:val="24"/>
        </w:rPr>
        <w:t xml:space="preserve"> threaten to </w:t>
      </w:r>
      <w:r w:rsidR="00FA4F32" w:rsidRPr="00C63D14">
        <w:rPr>
          <w:rFonts w:cs="Helvetica"/>
          <w:sz w:val="24"/>
        </w:rPr>
        <w:t xml:space="preserve">bankrupt </w:t>
      </w:r>
      <w:r w:rsidR="00A55A8A" w:rsidRPr="00C63D14">
        <w:rPr>
          <w:rFonts w:cs="Helvetica"/>
          <w:sz w:val="24"/>
        </w:rPr>
        <w:t xml:space="preserve">the </w:t>
      </w:r>
      <w:r w:rsidR="00A918DC" w:rsidRPr="00C63D14">
        <w:rPr>
          <w:rFonts w:cs="Helvetica"/>
          <w:sz w:val="24"/>
        </w:rPr>
        <w:t xml:space="preserve">promise </w:t>
      </w:r>
      <w:r w:rsidR="00A55A8A" w:rsidRPr="00C63D14">
        <w:rPr>
          <w:rFonts w:cs="Helvetica"/>
          <w:sz w:val="24"/>
        </w:rPr>
        <w:t>of the ADA.</w:t>
      </w:r>
      <w:r w:rsidR="00D178B7">
        <w:rPr>
          <w:rStyle w:val="EndnoteReference"/>
          <w:rFonts w:cs="Helvetica"/>
          <w:sz w:val="24"/>
        </w:rPr>
        <w:endnoteReference w:id="1"/>
      </w:r>
      <w:r w:rsidR="00A55A8A" w:rsidRPr="00C63D14">
        <w:rPr>
          <w:rFonts w:cs="Helvetica"/>
          <w:sz w:val="24"/>
        </w:rPr>
        <w:t xml:space="preserve"> </w:t>
      </w:r>
    </w:p>
    <w:p w14:paraId="02BC65A1" w14:textId="77777777" w:rsidR="00263144" w:rsidRDefault="00263144" w:rsidP="00A55A8A">
      <w:pPr>
        <w:rPr>
          <w:rFonts w:cs="Helvetica"/>
          <w:b/>
          <w:color w:val="FF0000"/>
          <w:sz w:val="24"/>
        </w:rPr>
      </w:pPr>
    </w:p>
    <w:p w14:paraId="59ED8AE1" w14:textId="05DB0B85" w:rsidR="00A55A8A" w:rsidRDefault="00263144" w:rsidP="00A55A8A">
      <w:pPr>
        <w:rPr>
          <w:rFonts w:cs="Helvetica"/>
          <w:b/>
          <w:color w:val="FF0000"/>
          <w:sz w:val="24"/>
        </w:rPr>
      </w:pPr>
      <w:r w:rsidRPr="00C63D14">
        <w:rPr>
          <w:rFonts w:cs="Helvetica"/>
          <w:b/>
          <w:color w:val="FF0000"/>
          <w:sz w:val="24"/>
        </w:rPr>
        <w:t xml:space="preserve">H.R. </w:t>
      </w:r>
      <w:r w:rsidR="00034FAD" w:rsidRPr="00C63D14">
        <w:rPr>
          <w:rFonts w:cs="Helvetica"/>
          <w:b/>
          <w:color w:val="FF0000"/>
          <w:sz w:val="24"/>
        </w:rPr>
        <w:t>620 would</w:t>
      </w:r>
      <w:r w:rsidR="00A55A8A" w:rsidRPr="00C63D14">
        <w:rPr>
          <w:rFonts w:cs="Helvetica"/>
          <w:b/>
          <w:color w:val="FF0000"/>
          <w:sz w:val="24"/>
        </w:rPr>
        <w:t xml:space="preserve"> eliminate the right to equal access that is guaranteed by the ADA</w:t>
      </w:r>
      <w:r w:rsidR="00C63D14">
        <w:rPr>
          <w:rFonts w:cs="Helvetica"/>
          <w:b/>
          <w:color w:val="FF0000"/>
          <w:sz w:val="24"/>
        </w:rPr>
        <w:t>.</w:t>
      </w:r>
      <w:r w:rsidR="00A55A8A" w:rsidRPr="00C63D14">
        <w:rPr>
          <w:rFonts w:cs="Helvetica"/>
          <w:b/>
          <w:color w:val="FF0000"/>
          <w:sz w:val="24"/>
        </w:rPr>
        <w:t xml:space="preserve"> </w:t>
      </w:r>
      <w:r w:rsidR="00C63D14" w:rsidRPr="00D178B7">
        <w:rPr>
          <w:rFonts w:cs="Helvetica"/>
          <w:sz w:val="24"/>
        </w:rPr>
        <w:t>I</w:t>
      </w:r>
      <w:r w:rsidR="00A55A8A" w:rsidRPr="00D178B7">
        <w:rPr>
          <w:rFonts w:cs="Helvetica"/>
          <w:sz w:val="24"/>
        </w:rPr>
        <w:t>nstead</w:t>
      </w:r>
      <w:r w:rsidR="00C63D14">
        <w:rPr>
          <w:rFonts w:cs="Helvetica"/>
          <w:sz w:val="24"/>
        </w:rPr>
        <w:t>,</w:t>
      </w:r>
      <w:r w:rsidR="00A55A8A" w:rsidRPr="00D178B7">
        <w:rPr>
          <w:rFonts w:cs="Helvetica"/>
          <w:sz w:val="24"/>
        </w:rPr>
        <w:t xml:space="preserve"> </w:t>
      </w:r>
      <w:r w:rsidR="00C63D14">
        <w:rPr>
          <w:rFonts w:cs="Helvetica"/>
          <w:sz w:val="24"/>
        </w:rPr>
        <w:t xml:space="preserve">the bill would </w:t>
      </w:r>
      <w:r w:rsidR="00A55A8A" w:rsidRPr="00D178B7">
        <w:rPr>
          <w:rFonts w:cs="Helvetica"/>
          <w:sz w:val="24"/>
        </w:rPr>
        <w:t>require only that a public accommodation show “substantial progress” toward fixing an access barrier</w:t>
      </w:r>
      <w:r w:rsidR="00CF5339" w:rsidRPr="00D178B7">
        <w:rPr>
          <w:rFonts w:cs="Helvetica"/>
          <w:sz w:val="24"/>
        </w:rPr>
        <w:t xml:space="preserve">, </w:t>
      </w:r>
      <w:r w:rsidR="00A55A8A" w:rsidRPr="00D178B7">
        <w:rPr>
          <w:rFonts w:cs="Helvetica"/>
          <w:sz w:val="24"/>
        </w:rPr>
        <w:t xml:space="preserve">a standard which has no clear </w:t>
      </w:r>
      <w:r w:rsidR="00C63D14">
        <w:rPr>
          <w:rFonts w:cs="Helvetica"/>
          <w:sz w:val="24"/>
        </w:rPr>
        <w:t>legal</w:t>
      </w:r>
      <w:r w:rsidR="00C63D14" w:rsidRPr="00D178B7">
        <w:rPr>
          <w:rFonts w:cs="Helvetica"/>
          <w:sz w:val="24"/>
        </w:rPr>
        <w:t xml:space="preserve"> </w:t>
      </w:r>
      <w:r w:rsidR="00A55A8A" w:rsidRPr="00D178B7">
        <w:rPr>
          <w:rFonts w:cs="Helvetica"/>
          <w:sz w:val="24"/>
        </w:rPr>
        <w:t>definition.</w:t>
      </w:r>
      <w:r w:rsidR="00A55A8A" w:rsidRPr="00C63D14">
        <w:rPr>
          <w:rFonts w:cs="Helvetica"/>
          <w:color w:val="FF0000"/>
          <w:sz w:val="24"/>
        </w:rPr>
        <w:t xml:space="preserve"> </w:t>
      </w:r>
      <w:r w:rsidR="00A55A8A">
        <w:rPr>
          <w:rFonts w:cs="Helvetica"/>
          <w:sz w:val="24"/>
        </w:rPr>
        <w:t>The introduction of this vague standard disregards the right</w:t>
      </w:r>
      <w:r w:rsidR="00A55A8A" w:rsidRPr="00ED6775">
        <w:rPr>
          <w:rFonts w:cs="Helvetica"/>
          <w:sz w:val="24"/>
        </w:rPr>
        <w:t xml:space="preserve"> of people with disabilities </w:t>
      </w:r>
      <w:r w:rsidR="00A55A8A">
        <w:rPr>
          <w:rFonts w:cs="Helvetica"/>
          <w:sz w:val="24"/>
        </w:rPr>
        <w:t xml:space="preserve">to demand an immediate remedy to an access barrier. Given that </w:t>
      </w:r>
      <w:r w:rsidR="00C63D14">
        <w:rPr>
          <w:rFonts w:cs="Helvetica"/>
          <w:sz w:val="24"/>
        </w:rPr>
        <w:t>this standard</w:t>
      </w:r>
      <w:r w:rsidR="00A55A8A">
        <w:rPr>
          <w:rFonts w:cs="Helvetica"/>
          <w:sz w:val="24"/>
        </w:rPr>
        <w:t xml:space="preserve"> is not clearly defined, a business may be able to create a quick partial remedy to an access barrier, not a real solution. </w:t>
      </w:r>
      <w:r w:rsidR="009443E3">
        <w:rPr>
          <w:rFonts w:cs="Helvetica"/>
          <w:sz w:val="24"/>
        </w:rPr>
        <w:t>For the blind, t</w:t>
      </w:r>
      <w:r w:rsidR="00A55A8A">
        <w:rPr>
          <w:rFonts w:cs="Helvetica"/>
          <w:sz w:val="24"/>
        </w:rPr>
        <w:t xml:space="preserve">his could mean continued inaccessibility in online shopping or digital banking platforms, </w:t>
      </w:r>
      <w:r w:rsidR="009443E3">
        <w:rPr>
          <w:rFonts w:cs="Helvetica"/>
          <w:sz w:val="24"/>
        </w:rPr>
        <w:t xml:space="preserve">as well as the inability </w:t>
      </w:r>
      <w:r w:rsidR="00A55A8A">
        <w:rPr>
          <w:rFonts w:cs="Helvetica"/>
          <w:sz w:val="24"/>
        </w:rPr>
        <w:t xml:space="preserve">to maintain the privacy </w:t>
      </w:r>
      <w:r w:rsidR="00FA4F32">
        <w:rPr>
          <w:rFonts w:cs="Helvetica"/>
          <w:sz w:val="24"/>
        </w:rPr>
        <w:t xml:space="preserve">of medical information </w:t>
      </w:r>
      <w:r w:rsidR="00A55A8A">
        <w:rPr>
          <w:rFonts w:cs="Helvetica"/>
          <w:sz w:val="24"/>
        </w:rPr>
        <w:t>that other people have during visits to the doctor’s office</w:t>
      </w:r>
      <w:r w:rsidR="00C63D14">
        <w:rPr>
          <w:rFonts w:cs="Helvetica"/>
          <w:sz w:val="24"/>
        </w:rPr>
        <w:t>,</w:t>
      </w:r>
      <w:r w:rsidR="00D2780A">
        <w:rPr>
          <w:rFonts w:cs="Helvetica"/>
          <w:sz w:val="24"/>
        </w:rPr>
        <w:t xml:space="preserve"> or </w:t>
      </w:r>
      <w:r w:rsidR="001A2570">
        <w:rPr>
          <w:rFonts w:cs="Helvetica"/>
          <w:sz w:val="24"/>
        </w:rPr>
        <w:t xml:space="preserve">to </w:t>
      </w:r>
      <w:r w:rsidR="00D2780A">
        <w:rPr>
          <w:rFonts w:cs="Helvetica"/>
          <w:sz w:val="24"/>
        </w:rPr>
        <w:t>independently peruse the menu choices at a restaurant</w:t>
      </w:r>
      <w:r w:rsidR="00A55A8A">
        <w:rPr>
          <w:rFonts w:cs="Helvetica"/>
          <w:sz w:val="24"/>
        </w:rPr>
        <w:t xml:space="preserve">. </w:t>
      </w:r>
    </w:p>
    <w:p w14:paraId="2627A4E4" w14:textId="77777777" w:rsidR="00A55A8A" w:rsidRDefault="00A55A8A" w:rsidP="00437EDC">
      <w:pPr>
        <w:rPr>
          <w:rFonts w:cs="Helvetica"/>
          <w:b/>
          <w:color w:val="FF0000"/>
          <w:sz w:val="24"/>
        </w:rPr>
      </w:pPr>
    </w:p>
    <w:p w14:paraId="041D4091" w14:textId="5996163E" w:rsidR="00437EDC" w:rsidRPr="00C63D14" w:rsidRDefault="00AB085D" w:rsidP="00437EDC">
      <w:pPr>
        <w:rPr>
          <w:rFonts w:cs="Helvetica"/>
          <w:sz w:val="20"/>
          <w:szCs w:val="20"/>
        </w:rPr>
      </w:pPr>
      <w:r w:rsidRPr="00C63D14">
        <w:rPr>
          <w:rFonts w:cs="Helvetica"/>
          <w:b/>
          <w:color w:val="FF0000"/>
          <w:sz w:val="24"/>
        </w:rPr>
        <w:t xml:space="preserve">H.R. 620 would </w:t>
      </w:r>
      <w:r w:rsidR="005F4CA5" w:rsidRPr="00C63D14">
        <w:rPr>
          <w:rFonts w:cs="Helvetica"/>
          <w:b/>
          <w:color w:val="FF0000"/>
          <w:sz w:val="24"/>
        </w:rPr>
        <w:t xml:space="preserve">undermine </w:t>
      </w:r>
      <w:r w:rsidRPr="00C63D14">
        <w:rPr>
          <w:rFonts w:cs="Helvetica"/>
          <w:b/>
          <w:color w:val="FF0000"/>
          <w:sz w:val="24"/>
        </w:rPr>
        <w:t xml:space="preserve">the ADA by </w:t>
      </w:r>
      <w:r w:rsidR="00D2780A" w:rsidRPr="00C63D14">
        <w:rPr>
          <w:rFonts w:cs="Helvetica"/>
          <w:b/>
          <w:color w:val="FF0000"/>
          <w:sz w:val="24"/>
        </w:rPr>
        <w:t>eroding</w:t>
      </w:r>
      <w:r w:rsidRPr="00C63D14">
        <w:rPr>
          <w:rFonts w:cs="Helvetica"/>
          <w:b/>
          <w:color w:val="FF0000"/>
          <w:sz w:val="24"/>
        </w:rPr>
        <w:t xml:space="preserve"> the threat of litigation, and </w:t>
      </w:r>
      <w:r w:rsidR="00B971FE">
        <w:rPr>
          <w:rFonts w:cs="Helvetica"/>
          <w:b/>
          <w:color w:val="FF0000"/>
          <w:sz w:val="24"/>
        </w:rPr>
        <w:t>thereby eliminate</w:t>
      </w:r>
      <w:r w:rsidRPr="00C63D14">
        <w:rPr>
          <w:rFonts w:cs="Helvetica"/>
          <w:b/>
          <w:color w:val="FF0000"/>
          <w:sz w:val="24"/>
        </w:rPr>
        <w:t xml:space="preserve"> </w:t>
      </w:r>
      <w:r w:rsidR="00F32D3A">
        <w:rPr>
          <w:rFonts w:cs="Helvetica"/>
          <w:b/>
          <w:color w:val="FF0000"/>
          <w:sz w:val="24"/>
        </w:rPr>
        <w:t>a major</w:t>
      </w:r>
      <w:r w:rsidRPr="00C63D14">
        <w:rPr>
          <w:rFonts w:cs="Helvetica"/>
          <w:b/>
          <w:color w:val="FF0000"/>
          <w:sz w:val="24"/>
        </w:rPr>
        <w:t xml:space="preserve"> incentive for compliance.</w:t>
      </w:r>
      <w:r w:rsidRPr="00C63D14">
        <w:rPr>
          <w:rFonts w:cs="Helvetica"/>
          <w:color w:val="FF0000"/>
          <w:sz w:val="24"/>
        </w:rPr>
        <w:t xml:space="preserve"> </w:t>
      </w:r>
      <w:r w:rsidR="00D2780A" w:rsidRPr="00C63D14">
        <w:rPr>
          <w:rFonts w:cs="Helvetica"/>
          <w:sz w:val="24"/>
        </w:rPr>
        <w:t xml:space="preserve">Under the bill, a covered business need not comply with </w:t>
      </w:r>
      <w:r w:rsidR="001A2570" w:rsidRPr="00C63D14">
        <w:rPr>
          <w:rFonts w:cs="Helvetica"/>
          <w:sz w:val="24"/>
        </w:rPr>
        <w:t xml:space="preserve">its existing obligations under </w:t>
      </w:r>
      <w:r w:rsidR="00D2780A" w:rsidRPr="00C63D14">
        <w:rPr>
          <w:rFonts w:cs="Helvetica"/>
          <w:sz w:val="24"/>
        </w:rPr>
        <w:t xml:space="preserve">the ADA at all until </w:t>
      </w:r>
      <w:r w:rsidR="001C360A">
        <w:rPr>
          <w:rFonts w:cs="Helvetica"/>
          <w:sz w:val="24"/>
        </w:rPr>
        <w:t>receiving</w:t>
      </w:r>
      <w:r w:rsidR="00D2780A" w:rsidRPr="00C63D14">
        <w:rPr>
          <w:rFonts w:cs="Helvetica"/>
          <w:sz w:val="24"/>
        </w:rPr>
        <w:t xml:space="preserve"> a detailed letter from a </w:t>
      </w:r>
      <w:r w:rsidR="001C360A">
        <w:rPr>
          <w:rFonts w:cs="Helvetica"/>
          <w:sz w:val="24"/>
        </w:rPr>
        <w:t>person with a disability</w:t>
      </w:r>
      <w:r w:rsidR="00D2780A" w:rsidRPr="00C63D14">
        <w:rPr>
          <w:rFonts w:cs="Helvetica"/>
          <w:sz w:val="24"/>
        </w:rPr>
        <w:t xml:space="preserve"> who experienced an access barrier</w:t>
      </w:r>
      <w:r w:rsidR="00B1070A" w:rsidRPr="00C63D14">
        <w:rPr>
          <w:rFonts w:cs="Helvetica"/>
          <w:sz w:val="24"/>
        </w:rPr>
        <w:t>.</w:t>
      </w:r>
      <w:r w:rsidR="00D2780A" w:rsidRPr="00C63D14">
        <w:rPr>
          <w:rFonts w:cs="Helvetica"/>
          <w:sz w:val="24"/>
        </w:rPr>
        <w:t xml:space="preserve"> </w:t>
      </w:r>
      <w:r w:rsidR="00B1070A" w:rsidRPr="00C63D14">
        <w:rPr>
          <w:rFonts w:cs="Helvetica"/>
          <w:sz w:val="24"/>
        </w:rPr>
        <w:t xml:space="preserve">The business </w:t>
      </w:r>
      <w:r w:rsidR="00D2780A" w:rsidRPr="00C63D14">
        <w:rPr>
          <w:rFonts w:cs="Helvetica"/>
          <w:sz w:val="24"/>
        </w:rPr>
        <w:t xml:space="preserve">will then be required only to achieve “substantial progress” </w:t>
      </w:r>
      <w:r w:rsidR="00B1070A" w:rsidRPr="00C63D14">
        <w:rPr>
          <w:rFonts w:cs="Helvetica"/>
          <w:sz w:val="24"/>
        </w:rPr>
        <w:t xml:space="preserve">in remedying the barrier </w:t>
      </w:r>
      <w:r w:rsidR="00D2780A" w:rsidRPr="00C63D14">
        <w:rPr>
          <w:rFonts w:cs="Helvetica"/>
          <w:sz w:val="24"/>
        </w:rPr>
        <w:t xml:space="preserve">to avoid a lawsuit. </w:t>
      </w:r>
      <w:r w:rsidR="00034FAD" w:rsidRPr="00C63D14">
        <w:rPr>
          <w:rFonts w:cs="Helvetica"/>
          <w:sz w:val="24"/>
        </w:rPr>
        <w:t>The result</w:t>
      </w:r>
      <w:r w:rsidR="00D2780A" w:rsidRPr="00C63D14">
        <w:rPr>
          <w:rFonts w:cs="Helvetica"/>
          <w:sz w:val="24"/>
        </w:rPr>
        <w:t xml:space="preserve"> will be that many businesses will </w:t>
      </w:r>
      <w:r w:rsidR="00034FAD" w:rsidRPr="00C63D14">
        <w:rPr>
          <w:rFonts w:cs="Helvetica"/>
          <w:sz w:val="24"/>
        </w:rPr>
        <w:t xml:space="preserve">never </w:t>
      </w:r>
      <w:r w:rsidR="00A3469F">
        <w:rPr>
          <w:rFonts w:cs="Helvetica"/>
          <w:sz w:val="24"/>
        </w:rPr>
        <w:t xml:space="preserve">need to </w:t>
      </w:r>
      <w:r w:rsidR="00034FAD" w:rsidRPr="00C63D14">
        <w:rPr>
          <w:rFonts w:cs="Helvetica"/>
          <w:sz w:val="24"/>
        </w:rPr>
        <w:t>fully</w:t>
      </w:r>
      <w:r w:rsidR="00D2780A" w:rsidRPr="00C63D14">
        <w:rPr>
          <w:rFonts w:cs="Helvetica"/>
          <w:sz w:val="24"/>
        </w:rPr>
        <w:t xml:space="preserve"> comply with the ADA, despite being notified of access barriers that have been experienced by their potential patrons</w:t>
      </w:r>
      <w:r w:rsidR="001C360A">
        <w:rPr>
          <w:rFonts w:cs="Helvetica"/>
          <w:sz w:val="24"/>
        </w:rPr>
        <w:t>.</w:t>
      </w:r>
    </w:p>
    <w:p w14:paraId="714AFAF4" w14:textId="3D134647" w:rsidR="005F4CA5" w:rsidRDefault="005F4CA5" w:rsidP="00AB085D">
      <w:pPr>
        <w:rPr>
          <w:rFonts w:cs="Helvetica"/>
          <w:b/>
          <w:color w:val="FF0000"/>
          <w:sz w:val="24"/>
        </w:rPr>
      </w:pPr>
    </w:p>
    <w:p w14:paraId="648A494A" w14:textId="761B6070" w:rsidR="00AB085D" w:rsidRPr="00AB085D" w:rsidRDefault="00AB085D" w:rsidP="00AB085D">
      <w:pPr>
        <w:rPr>
          <w:rFonts w:cs="Helvetica"/>
          <w:b/>
          <w:color w:val="FF0000"/>
          <w:sz w:val="24"/>
        </w:rPr>
      </w:pPr>
      <w:r w:rsidRPr="00AB085D">
        <w:rPr>
          <w:rFonts w:cs="Helvetica"/>
          <w:b/>
          <w:color w:val="FF0000"/>
          <w:sz w:val="24"/>
        </w:rPr>
        <w:t xml:space="preserve">This bill is founded on </w:t>
      </w:r>
      <w:r w:rsidR="00EC15B8">
        <w:rPr>
          <w:rFonts w:cs="Helvetica"/>
          <w:b/>
          <w:color w:val="FF0000"/>
          <w:sz w:val="24"/>
        </w:rPr>
        <w:t>inaccuracies</w:t>
      </w:r>
      <w:r w:rsidRPr="00AB085D">
        <w:rPr>
          <w:rFonts w:cs="Helvetica"/>
          <w:b/>
          <w:color w:val="FF0000"/>
          <w:sz w:val="24"/>
        </w:rPr>
        <w:t xml:space="preserve"> and misunderstandings. </w:t>
      </w:r>
      <w:r w:rsidRPr="00AB085D">
        <w:rPr>
          <w:rFonts w:cs="Helvetica"/>
          <w:sz w:val="24"/>
        </w:rPr>
        <w:t>Proponents of H.R. 620 argue that the bill is necessary because of the e</w:t>
      </w:r>
      <w:r w:rsidR="00D83963">
        <w:rPr>
          <w:rFonts w:cs="Helvetica"/>
          <w:sz w:val="24"/>
        </w:rPr>
        <w:t>xistence of “drive-by lawsuits”</w:t>
      </w:r>
      <w:r w:rsidR="009F2C38">
        <w:rPr>
          <w:rFonts w:cs="Helvetica"/>
          <w:sz w:val="24"/>
        </w:rPr>
        <w:t xml:space="preserve"> </w:t>
      </w:r>
      <w:r w:rsidR="00D83963">
        <w:rPr>
          <w:rFonts w:cs="Helvetica"/>
          <w:sz w:val="24"/>
        </w:rPr>
        <w:t>designed to</w:t>
      </w:r>
      <w:r w:rsidRPr="00AB085D">
        <w:rPr>
          <w:rFonts w:cs="Helvetica"/>
          <w:sz w:val="24"/>
        </w:rPr>
        <w:t xml:space="preserve"> exploit Title III of the ADA.</w:t>
      </w:r>
      <w:r w:rsidR="004E5BF6">
        <w:rPr>
          <w:rStyle w:val="EndnoteReference"/>
          <w:rFonts w:cs="Helvetica"/>
          <w:sz w:val="24"/>
        </w:rPr>
        <w:endnoteReference w:id="2"/>
      </w:r>
      <w:r w:rsidR="00636C56" w:rsidRPr="00636C56">
        <w:rPr>
          <w:rStyle w:val="EndnoteReference"/>
          <w:rFonts w:cs="Helvetica"/>
          <w:sz w:val="24"/>
        </w:rPr>
        <w:t xml:space="preserve"> </w:t>
      </w:r>
      <w:r w:rsidRPr="00AB085D">
        <w:rPr>
          <w:rFonts w:cs="Helvetica"/>
          <w:sz w:val="24"/>
        </w:rPr>
        <w:t xml:space="preserve">This argument has no </w:t>
      </w:r>
      <w:r w:rsidR="001C360A">
        <w:rPr>
          <w:rFonts w:cs="Helvetica"/>
          <w:sz w:val="24"/>
        </w:rPr>
        <w:t>researched</w:t>
      </w:r>
      <w:r w:rsidR="001C360A" w:rsidRPr="00AB085D">
        <w:rPr>
          <w:rFonts w:cs="Helvetica"/>
          <w:sz w:val="24"/>
        </w:rPr>
        <w:t xml:space="preserve"> </w:t>
      </w:r>
      <w:r w:rsidRPr="00AB085D">
        <w:rPr>
          <w:rFonts w:cs="Helvetica"/>
          <w:sz w:val="24"/>
        </w:rPr>
        <w:t xml:space="preserve">data behind it and rests entirely on anecdotes and </w:t>
      </w:r>
      <w:r w:rsidR="00832F2E">
        <w:rPr>
          <w:rFonts w:cs="Helvetica"/>
          <w:sz w:val="24"/>
        </w:rPr>
        <w:t xml:space="preserve">sensationalized </w:t>
      </w:r>
      <w:r w:rsidRPr="00AB085D">
        <w:rPr>
          <w:rFonts w:cs="Helvetica"/>
          <w:sz w:val="24"/>
        </w:rPr>
        <w:t>media stories. There is also confusion as to whether the ADA permits litigants to seek monetary damages under Title III lawsuits, which it does not</w:t>
      </w:r>
      <w:r w:rsidR="00CF5339" w:rsidRPr="00AB085D">
        <w:rPr>
          <w:rFonts w:cs="Helvetica"/>
          <w:sz w:val="24"/>
        </w:rPr>
        <w:t>.</w:t>
      </w:r>
      <w:r w:rsidR="004E5BF6">
        <w:rPr>
          <w:rStyle w:val="EndnoteReference"/>
          <w:rFonts w:cs="Helvetica"/>
          <w:sz w:val="24"/>
        </w:rPr>
        <w:endnoteReference w:id="3"/>
      </w:r>
    </w:p>
    <w:p w14:paraId="4EFC0DA2" w14:textId="77777777" w:rsidR="00944ECA" w:rsidRDefault="00944ECA" w:rsidP="002D757F">
      <w:pPr>
        <w:rPr>
          <w:rFonts w:cs="Helvetica"/>
          <w:b/>
          <w:bCs/>
          <w:color w:val="006699"/>
          <w:sz w:val="24"/>
        </w:rPr>
      </w:pPr>
    </w:p>
    <w:p w14:paraId="152064DC" w14:textId="77777777" w:rsidR="00CF5339" w:rsidRDefault="00CF5339" w:rsidP="002D757F">
      <w:pPr>
        <w:rPr>
          <w:rFonts w:cs="Helvetica"/>
          <w:b/>
          <w:bCs/>
          <w:color w:val="006699"/>
          <w:sz w:val="24"/>
        </w:rPr>
      </w:pPr>
    </w:p>
    <w:p w14:paraId="4A1ED82D" w14:textId="77777777" w:rsidR="00E70811" w:rsidRDefault="00E70811" w:rsidP="002D757F">
      <w:pPr>
        <w:rPr>
          <w:rFonts w:cs="Helvetica"/>
          <w:b/>
          <w:bCs/>
          <w:color w:val="006699"/>
          <w:sz w:val="24"/>
        </w:rPr>
      </w:pPr>
    </w:p>
    <w:p w14:paraId="1C580A45" w14:textId="17020534" w:rsidR="00E70811" w:rsidRPr="00E70811" w:rsidRDefault="00E70811" w:rsidP="002D757F">
      <w:pPr>
        <w:rPr>
          <w:rFonts w:cs="Helvetica"/>
          <w:b/>
          <w:bCs/>
          <w:sz w:val="24"/>
        </w:rPr>
      </w:pPr>
      <w:r w:rsidRPr="00E70811">
        <w:rPr>
          <w:rFonts w:cs="Helvetica"/>
          <w:b/>
          <w:bCs/>
          <w:sz w:val="24"/>
        </w:rPr>
        <w:lastRenderedPageBreak/>
        <w:t>The Americans with Dis</w:t>
      </w:r>
      <w:bookmarkStart w:id="0" w:name="_GoBack"/>
      <w:bookmarkEnd w:id="0"/>
      <w:r w:rsidRPr="00E70811">
        <w:rPr>
          <w:rFonts w:cs="Helvetica"/>
          <w:b/>
          <w:bCs/>
          <w:sz w:val="24"/>
        </w:rPr>
        <w:t>abilities Act:</w:t>
      </w:r>
    </w:p>
    <w:p w14:paraId="788EBD53" w14:textId="77777777" w:rsidR="00E70811" w:rsidRDefault="00E70811" w:rsidP="002D757F">
      <w:pPr>
        <w:rPr>
          <w:rFonts w:cs="Helvetica"/>
          <w:b/>
          <w:bCs/>
          <w:color w:val="006699"/>
          <w:sz w:val="24"/>
        </w:rPr>
      </w:pPr>
    </w:p>
    <w:p w14:paraId="0606C07C" w14:textId="5A77097E" w:rsidR="00437EDC" w:rsidRPr="002D757F" w:rsidRDefault="002D757F" w:rsidP="002D757F">
      <w:pPr>
        <w:rPr>
          <w:rFonts w:cs="Helvetica"/>
          <w:b/>
          <w:bCs/>
          <w:color w:val="006699"/>
          <w:sz w:val="24"/>
        </w:rPr>
      </w:pPr>
      <w:r w:rsidRPr="00636C56">
        <w:rPr>
          <w:rFonts w:cs="Helvetica"/>
          <w:b/>
          <w:bCs/>
          <w:color w:val="006699"/>
          <w:sz w:val="24"/>
        </w:rPr>
        <w:t>The ADA is</w:t>
      </w:r>
      <w:r w:rsidR="00E90A19" w:rsidRPr="00636C56">
        <w:rPr>
          <w:rFonts w:cs="Helvetica"/>
          <w:b/>
          <w:bCs/>
          <w:color w:val="006699"/>
          <w:sz w:val="24"/>
        </w:rPr>
        <w:t xml:space="preserve"> already a compromise that </w:t>
      </w:r>
      <w:r w:rsidR="00B621F2" w:rsidRPr="00636C56">
        <w:rPr>
          <w:rFonts w:cs="Helvetica"/>
          <w:b/>
          <w:bCs/>
          <w:color w:val="006699"/>
          <w:sz w:val="24"/>
        </w:rPr>
        <w:t>i</w:t>
      </w:r>
      <w:r w:rsidR="00E90A19" w:rsidRPr="00636C56">
        <w:rPr>
          <w:rFonts w:cs="Helvetica"/>
          <w:b/>
          <w:bCs/>
          <w:color w:val="006699"/>
          <w:sz w:val="24"/>
        </w:rPr>
        <w:t xml:space="preserve">s designed to acknowledge the concerns of the business community. </w:t>
      </w:r>
      <w:r>
        <w:rPr>
          <w:rFonts w:cs="Helvetica"/>
          <w:bCs/>
          <w:sz w:val="24"/>
        </w:rPr>
        <w:t>It e</w:t>
      </w:r>
      <w:r w:rsidR="00E90A19" w:rsidRPr="002D757F">
        <w:rPr>
          <w:rFonts w:cs="Helvetica"/>
          <w:bCs/>
          <w:sz w:val="24"/>
        </w:rPr>
        <w:t>xplicitly states that any remedy must be “readily achievable” if the access barrier exists in an establishment that predates passage of the bill (1990</w:t>
      </w:r>
      <w:r>
        <w:rPr>
          <w:rFonts w:cs="Helvetica"/>
          <w:bCs/>
          <w:sz w:val="24"/>
        </w:rPr>
        <w:t>).</w:t>
      </w:r>
      <w:r w:rsidR="00EC64B4">
        <w:rPr>
          <w:rStyle w:val="EndnoteReference"/>
          <w:rFonts w:cs="Helvetica"/>
          <w:bCs/>
          <w:sz w:val="24"/>
        </w:rPr>
        <w:endnoteReference w:id="4"/>
      </w:r>
      <w:r w:rsidR="00E90A19" w:rsidRPr="002D757F">
        <w:rPr>
          <w:rFonts w:cs="Helvetica"/>
          <w:bCs/>
          <w:sz w:val="24"/>
        </w:rPr>
        <w:t xml:space="preserve"> The “readily achievable” standard </w:t>
      </w:r>
      <w:r w:rsidR="00944ECA">
        <w:rPr>
          <w:rFonts w:cs="Helvetica"/>
          <w:bCs/>
          <w:sz w:val="24"/>
        </w:rPr>
        <w:t xml:space="preserve">considers </w:t>
      </w:r>
      <w:r w:rsidR="00E90A19" w:rsidRPr="002D757F">
        <w:rPr>
          <w:rFonts w:cs="Helvetica"/>
          <w:bCs/>
          <w:sz w:val="24"/>
        </w:rPr>
        <w:t>the difficulty of the remedy as well as the expense and relationship to the structure of the establishment in question. In addition to this standard, there are provisions within Title III that require certain factors to be considered when determining obligations to undertake Title III remedies, such as the size of the business and the financial resources available to the business</w:t>
      </w:r>
      <w:r w:rsidR="00CF5339">
        <w:rPr>
          <w:rFonts w:cs="Helvetica"/>
          <w:bCs/>
          <w:sz w:val="24"/>
        </w:rPr>
        <w:t>.</w:t>
      </w:r>
      <w:r w:rsidR="00EC64B4">
        <w:rPr>
          <w:rStyle w:val="EndnoteReference"/>
          <w:rFonts w:cs="Helvetica"/>
          <w:bCs/>
          <w:sz w:val="24"/>
        </w:rPr>
        <w:endnoteReference w:id="5"/>
      </w:r>
    </w:p>
    <w:p w14:paraId="4C131AA8" w14:textId="77777777" w:rsidR="00E90A19" w:rsidRPr="00F63A24" w:rsidRDefault="00E90A19" w:rsidP="00437EDC">
      <w:pPr>
        <w:rPr>
          <w:rFonts w:cs="Helvetica"/>
          <w:sz w:val="24"/>
        </w:rPr>
      </w:pPr>
    </w:p>
    <w:p w14:paraId="13F26F0F" w14:textId="77777777" w:rsidR="00ED3E8C" w:rsidRPr="005849EF" w:rsidRDefault="005849EF" w:rsidP="005849EF">
      <w:pPr>
        <w:rPr>
          <w:rFonts w:cs="Helvetica"/>
          <w:sz w:val="24"/>
        </w:rPr>
      </w:pPr>
      <w:r w:rsidRPr="00636C56">
        <w:rPr>
          <w:rFonts w:cs="Helvetica"/>
          <w:b/>
          <w:color w:val="006699"/>
          <w:sz w:val="24"/>
        </w:rPr>
        <w:t xml:space="preserve">The </w:t>
      </w:r>
      <w:r w:rsidR="00D83963" w:rsidRPr="00636C56">
        <w:rPr>
          <w:rFonts w:cs="Helvetica"/>
          <w:b/>
          <w:color w:val="006699"/>
          <w:sz w:val="24"/>
        </w:rPr>
        <w:t>federal government already provides</w:t>
      </w:r>
      <w:r w:rsidR="00ED3E8C" w:rsidRPr="00636C56">
        <w:rPr>
          <w:rFonts w:cs="Helvetica"/>
          <w:b/>
          <w:color w:val="006699"/>
          <w:sz w:val="24"/>
        </w:rPr>
        <w:t xml:space="preserve"> extensive educational and technical assistance resources to </w:t>
      </w:r>
      <w:r w:rsidR="00D83963" w:rsidRPr="00636C56">
        <w:rPr>
          <w:rFonts w:cs="Helvetica"/>
          <w:b/>
          <w:color w:val="006699"/>
          <w:sz w:val="24"/>
        </w:rPr>
        <w:t>aid</w:t>
      </w:r>
      <w:r w:rsidR="00ED3E8C" w:rsidRPr="00636C56">
        <w:rPr>
          <w:rFonts w:cs="Helvetica"/>
          <w:b/>
          <w:color w:val="006699"/>
          <w:sz w:val="24"/>
        </w:rPr>
        <w:t xml:space="preserve"> </w:t>
      </w:r>
      <w:r w:rsidR="00990159" w:rsidRPr="00636C56">
        <w:rPr>
          <w:rFonts w:cs="Helvetica"/>
          <w:b/>
          <w:color w:val="006699"/>
          <w:sz w:val="24"/>
        </w:rPr>
        <w:t xml:space="preserve">businesses with </w:t>
      </w:r>
      <w:r w:rsidR="00ED3E8C" w:rsidRPr="00636C56">
        <w:rPr>
          <w:rFonts w:cs="Helvetica"/>
          <w:b/>
          <w:color w:val="006699"/>
          <w:sz w:val="24"/>
        </w:rPr>
        <w:t>their ADA compliance obligations</w:t>
      </w:r>
      <w:r w:rsidR="00C973AE" w:rsidRPr="00636C56">
        <w:rPr>
          <w:rFonts w:cs="Helvetica"/>
          <w:b/>
          <w:color w:val="006699"/>
          <w:sz w:val="24"/>
        </w:rPr>
        <w:t xml:space="preserve">. </w:t>
      </w:r>
      <w:r w:rsidRPr="005849EF">
        <w:rPr>
          <w:rFonts w:cs="Helvetica"/>
          <w:sz w:val="24"/>
        </w:rPr>
        <w:t>The</w:t>
      </w:r>
      <w:r w:rsidR="00C973AE">
        <w:rPr>
          <w:rFonts w:cs="Helvetica"/>
          <w:sz w:val="24"/>
        </w:rPr>
        <w:t xml:space="preserve"> following</w:t>
      </w:r>
      <w:r>
        <w:rPr>
          <w:rFonts w:cs="Helvetica"/>
          <w:color w:val="365F91" w:themeColor="accent1" w:themeShade="BF"/>
          <w:sz w:val="24"/>
        </w:rPr>
        <w:t xml:space="preserve"> </w:t>
      </w:r>
      <w:r w:rsidR="00ED3E8C" w:rsidRPr="005849EF">
        <w:rPr>
          <w:rFonts w:cs="Helvetica"/>
          <w:sz w:val="24"/>
        </w:rPr>
        <w:t xml:space="preserve">resources </w:t>
      </w:r>
      <w:r w:rsidR="00C973AE">
        <w:rPr>
          <w:rFonts w:cs="Helvetica"/>
          <w:sz w:val="24"/>
        </w:rPr>
        <w:t>make Section 2 of H.R. 620 redundant</w:t>
      </w:r>
      <w:r w:rsidR="00ED3E8C" w:rsidRPr="005849EF">
        <w:rPr>
          <w:rFonts w:cs="Helvetica"/>
          <w:sz w:val="24"/>
        </w:rPr>
        <w:t>:</w:t>
      </w:r>
    </w:p>
    <w:p w14:paraId="569B45A0" w14:textId="17C53405" w:rsidR="00ED3E8C" w:rsidRPr="005849EF" w:rsidRDefault="00C973AE" w:rsidP="005849EF">
      <w:pPr>
        <w:pStyle w:val="ListParagraph"/>
        <w:numPr>
          <w:ilvl w:val="0"/>
          <w:numId w:val="2"/>
        </w:numPr>
        <w:rPr>
          <w:rFonts w:cs="Helvetica"/>
          <w:sz w:val="24"/>
        </w:rPr>
      </w:pPr>
      <w:r>
        <w:rPr>
          <w:rFonts w:cs="Helvetica"/>
          <w:sz w:val="24"/>
        </w:rPr>
        <w:t>ten</w:t>
      </w:r>
      <w:r w:rsidR="00D83963">
        <w:rPr>
          <w:rFonts w:cs="Helvetica"/>
          <w:sz w:val="24"/>
        </w:rPr>
        <w:t xml:space="preserve"> regional ADA centers, funded by a grant from the Department of Health and Human Services, </w:t>
      </w:r>
      <w:r w:rsidR="00ED3E8C" w:rsidRPr="005849EF">
        <w:rPr>
          <w:rFonts w:cs="Helvetica"/>
          <w:sz w:val="24"/>
        </w:rPr>
        <w:t>that provide technical assistance, trainings</w:t>
      </w:r>
      <w:r w:rsidR="00E31A89">
        <w:rPr>
          <w:rFonts w:cs="Helvetica"/>
          <w:sz w:val="24"/>
        </w:rPr>
        <w:t>,</w:t>
      </w:r>
      <w:r w:rsidR="00ED3E8C" w:rsidRPr="005849EF">
        <w:rPr>
          <w:rFonts w:cs="Helvetica"/>
          <w:sz w:val="24"/>
        </w:rPr>
        <w:t xml:space="preserve"> and other resources for businesses</w:t>
      </w:r>
      <w:r w:rsidR="00CF5339" w:rsidRPr="005849EF">
        <w:rPr>
          <w:rFonts w:cs="Helvetica"/>
          <w:sz w:val="24"/>
        </w:rPr>
        <w:t>;</w:t>
      </w:r>
      <w:r w:rsidR="00EC64B4">
        <w:rPr>
          <w:rStyle w:val="EndnoteReference"/>
          <w:rFonts w:cs="Helvetica"/>
          <w:sz w:val="24"/>
        </w:rPr>
        <w:endnoteReference w:id="6"/>
      </w:r>
    </w:p>
    <w:p w14:paraId="1DCAE74A" w14:textId="60B48757" w:rsidR="00ED3E8C" w:rsidRPr="005849EF" w:rsidRDefault="005849EF" w:rsidP="005849EF">
      <w:pPr>
        <w:pStyle w:val="ListParagraph"/>
        <w:numPr>
          <w:ilvl w:val="0"/>
          <w:numId w:val="2"/>
        </w:numPr>
        <w:rPr>
          <w:rFonts w:cs="Helvetica"/>
          <w:sz w:val="24"/>
        </w:rPr>
      </w:pPr>
      <w:r w:rsidRPr="005849EF">
        <w:rPr>
          <w:rFonts w:cs="Helvetica"/>
          <w:sz w:val="24"/>
        </w:rPr>
        <w:t xml:space="preserve">an </w:t>
      </w:r>
      <w:r w:rsidR="00ED3E8C" w:rsidRPr="005849EF">
        <w:rPr>
          <w:rFonts w:cs="Helvetica"/>
          <w:sz w:val="24"/>
        </w:rPr>
        <w:t>ADA hotline for businesses to call</w:t>
      </w:r>
      <w:r w:rsidR="00E31A89">
        <w:rPr>
          <w:rFonts w:cs="Helvetica"/>
          <w:sz w:val="24"/>
        </w:rPr>
        <w:t>, operated by the Department of Justice</w:t>
      </w:r>
      <w:r w:rsidR="00CF5339" w:rsidRPr="005849EF">
        <w:rPr>
          <w:rFonts w:cs="Helvetica"/>
          <w:sz w:val="24"/>
        </w:rPr>
        <w:t>;</w:t>
      </w:r>
      <w:r w:rsidR="00EC64B4">
        <w:rPr>
          <w:rStyle w:val="EndnoteReference"/>
          <w:rFonts w:cs="Helvetica"/>
          <w:sz w:val="24"/>
        </w:rPr>
        <w:endnoteReference w:id="7"/>
      </w:r>
      <w:r w:rsidR="00CF5339" w:rsidRPr="005849EF">
        <w:rPr>
          <w:rFonts w:cs="Helvetica"/>
          <w:sz w:val="24"/>
        </w:rPr>
        <w:t xml:space="preserve"> </w:t>
      </w:r>
      <w:r w:rsidRPr="005849EF">
        <w:rPr>
          <w:rFonts w:cs="Helvetica"/>
          <w:sz w:val="24"/>
        </w:rPr>
        <w:t>and</w:t>
      </w:r>
    </w:p>
    <w:p w14:paraId="0C17C566" w14:textId="18F7FCE8" w:rsidR="00ED3E8C" w:rsidRPr="005849EF" w:rsidRDefault="005849EF" w:rsidP="005849EF">
      <w:pPr>
        <w:pStyle w:val="ListParagraph"/>
        <w:numPr>
          <w:ilvl w:val="0"/>
          <w:numId w:val="2"/>
        </w:numPr>
        <w:rPr>
          <w:rFonts w:cs="Helvetica"/>
          <w:sz w:val="24"/>
        </w:rPr>
      </w:pPr>
      <w:proofErr w:type="gramStart"/>
      <w:r w:rsidRPr="005849EF">
        <w:rPr>
          <w:rFonts w:cs="Helvetica"/>
          <w:sz w:val="24"/>
        </w:rPr>
        <w:t>an</w:t>
      </w:r>
      <w:proofErr w:type="gramEnd"/>
      <w:r w:rsidRPr="005849EF">
        <w:rPr>
          <w:rFonts w:cs="Helvetica"/>
          <w:sz w:val="24"/>
        </w:rPr>
        <w:t xml:space="preserve"> </w:t>
      </w:r>
      <w:r w:rsidR="00ED3E8C" w:rsidRPr="005849EF">
        <w:rPr>
          <w:rFonts w:cs="Helvetica"/>
          <w:sz w:val="24"/>
        </w:rPr>
        <w:t xml:space="preserve">ADA website, containing </w:t>
      </w:r>
      <w:r w:rsidRPr="005849EF">
        <w:rPr>
          <w:rFonts w:cs="Helvetica"/>
          <w:sz w:val="24"/>
        </w:rPr>
        <w:t>numerous</w:t>
      </w:r>
      <w:r w:rsidR="00ED3E8C" w:rsidRPr="005849EF">
        <w:rPr>
          <w:rFonts w:cs="Helvetica"/>
          <w:sz w:val="24"/>
        </w:rPr>
        <w:t xml:space="preserve"> resources, </w:t>
      </w:r>
      <w:r w:rsidR="0012566F" w:rsidRPr="005849EF">
        <w:rPr>
          <w:rFonts w:cs="Helvetica"/>
          <w:sz w:val="24"/>
        </w:rPr>
        <w:t>tools</w:t>
      </w:r>
      <w:r w:rsidR="004F18A7">
        <w:rPr>
          <w:rFonts w:cs="Helvetica"/>
          <w:sz w:val="24"/>
        </w:rPr>
        <w:t>,</w:t>
      </w:r>
      <w:r w:rsidR="0012566F" w:rsidRPr="005849EF">
        <w:rPr>
          <w:rFonts w:cs="Helvetica"/>
          <w:sz w:val="24"/>
        </w:rPr>
        <w:t xml:space="preserve"> and</w:t>
      </w:r>
      <w:r w:rsidR="00ED3E8C" w:rsidRPr="005849EF">
        <w:rPr>
          <w:rFonts w:cs="Helvetica"/>
          <w:sz w:val="24"/>
        </w:rPr>
        <w:t xml:space="preserve"> information for businesses</w:t>
      </w:r>
      <w:r w:rsidR="00CF5339">
        <w:rPr>
          <w:rFonts w:cs="Helvetica"/>
          <w:sz w:val="24"/>
        </w:rPr>
        <w:t>.</w:t>
      </w:r>
      <w:r w:rsidR="00EC64B4">
        <w:rPr>
          <w:rStyle w:val="EndnoteReference"/>
          <w:rFonts w:cs="Helvetica"/>
          <w:sz w:val="24"/>
        </w:rPr>
        <w:endnoteReference w:id="8"/>
      </w:r>
      <w:r w:rsidR="00CF5339" w:rsidRPr="005849EF">
        <w:rPr>
          <w:rFonts w:cs="Helvetica"/>
          <w:sz w:val="24"/>
        </w:rPr>
        <w:t xml:space="preserve"> </w:t>
      </w:r>
    </w:p>
    <w:p w14:paraId="06FC806C" w14:textId="77777777" w:rsidR="008A7715" w:rsidRDefault="008A7715" w:rsidP="008A7715">
      <w:pPr>
        <w:rPr>
          <w:rFonts w:cs="Helvetica"/>
          <w:sz w:val="24"/>
        </w:rPr>
      </w:pPr>
    </w:p>
    <w:p w14:paraId="1FD762B6" w14:textId="4D0E5EE0" w:rsidR="00ED3E8C" w:rsidRPr="008A7715" w:rsidRDefault="00E500C4" w:rsidP="008A7715">
      <w:pPr>
        <w:rPr>
          <w:rFonts w:cs="Helvetica"/>
          <w:sz w:val="24"/>
        </w:rPr>
      </w:pPr>
      <w:r w:rsidRPr="00636C56">
        <w:rPr>
          <w:rFonts w:cs="Helvetica"/>
          <w:b/>
          <w:color w:val="006699"/>
          <w:sz w:val="24"/>
        </w:rPr>
        <w:t>The Department of Justice a</w:t>
      </w:r>
      <w:r w:rsidR="00ED3E8C" w:rsidRPr="00636C56">
        <w:rPr>
          <w:rFonts w:cs="Helvetica"/>
          <w:b/>
          <w:color w:val="006699"/>
          <w:sz w:val="24"/>
        </w:rPr>
        <w:t xml:space="preserve">lready facilitates mediation and alternative dispute resolution </w:t>
      </w:r>
      <w:r w:rsidR="0012566F" w:rsidRPr="00636C56">
        <w:rPr>
          <w:rFonts w:cs="Helvetica"/>
          <w:b/>
          <w:color w:val="006699"/>
          <w:sz w:val="24"/>
        </w:rPr>
        <w:t>mechanisms</w:t>
      </w:r>
      <w:r w:rsidRPr="00636C56">
        <w:rPr>
          <w:rFonts w:cs="Helvetica"/>
          <w:b/>
          <w:color w:val="006699"/>
          <w:sz w:val="24"/>
        </w:rPr>
        <w:t>.</w:t>
      </w:r>
      <w:r w:rsidR="00ED3E8C" w:rsidRPr="00636C56">
        <w:rPr>
          <w:rFonts w:cs="Helvetica"/>
          <w:color w:val="006699"/>
          <w:sz w:val="24"/>
        </w:rPr>
        <w:t xml:space="preserve"> </w:t>
      </w:r>
      <w:r w:rsidR="001877CE">
        <w:rPr>
          <w:rFonts w:cs="Helvetica"/>
          <w:sz w:val="24"/>
        </w:rPr>
        <w:t>When the ADA was enacted nearly thirty years ago, Congress encouraged the use of mediation as a way to resolve disputes. To that end, the Department of Justice refers ADA disputes to professional mediators specifically trained in the requirements of the ADA</w:t>
      </w:r>
      <w:r w:rsidR="00ED3E8C" w:rsidRPr="008A7715">
        <w:rPr>
          <w:rFonts w:cs="Helvetica"/>
          <w:sz w:val="24"/>
        </w:rPr>
        <w:t xml:space="preserve">. This </w:t>
      </w:r>
      <w:r w:rsidR="001877CE">
        <w:rPr>
          <w:rFonts w:cs="Helvetica"/>
          <w:sz w:val="24"/>
        </w:rPr>
        <w:t xml:space="preserve">mediation is provided </w:t>
      </w:r>
      <w:r w:rsidR="00B971FE">
        <w:rPr>
          <w:rFonts w:cs="Helvetica"/>
          <w:sz w:val="24"/>
        </w:rPr>
        <w:t>at no charge</w:t>
      </w:r>
      <w:r w:rsidR="00CF5339">
        <w:rPr>
          <w:rFonts w:cs="Helvetica"/>
          <w:sz w:val="24"/>
        </w:rPr>
        <w:t>,</w:t>
      </w:r>
      <w:r w:rsidR="005D0ECE">
        <w:rPr>
          <w:rStyle w:val="EndnoteReference"/>
          <w:rFonts w:cs="Helvetica"/>
          <w:sz w:val="24"/>
        </w:rPr>
        <w:endnoteReference w:id="9"/>
      </w:r>
      <w:r w:rsidR="00CF5339">
        <w:rPr>
          <w:rFonts w:cs="Helvetica"/>
          <w:sz w:val="24"/>
        </w:rPr>
        <w:t xml:space="preserve"> </w:t>
      </w:r>
      <w:r>
        <w:rPr>
          <w:rFonts w:cs="Helvetica"/>
          <w:sz w:val="24"/>
        </w:rPr>
        <w:t>mak</w:t>
      </w:r>
      <w:r w:rsidR="001877CE">
        <w:rPr>
          <w:rFonts w:cs="Helvetica"/>
          <w:sz w:val="24"/>
        </w:rPr>
        <w:t>ing</w:t>
      </w:r>
      <w:r w:rsidR="00ED3E8C" w:rsidRPr="008A7715">
        <w:rPr>
          <w:rFonts w:cs="Helvetica"/>
          <w:sz w:val="24"/>
        </w:rPr>
        <w:t xml:space="preserve"> Section 5</w:t>
      </w:r>
      <w:r w:rsidR="00022F50">
        <w:rPr>
          <w:rFonts w:cs="Helvetica"/>
          <w:sz w:val="24"/>
        </w:rPr>
        <w:t xml:space="preserve"> </w:t>
      </w:r>
      <w:r w:rsidR="00ED3E8C" w:rsidRPr="008A7715">
        <w:rPr>
          <w:rFonts w:cs="Helvetica"/>
          <w:sz w:val="24"/>
        </w:rPr>
        <w:t xml:space="preserve">of H.R. 620 </w:t>
      </w:r>
      <w:r w:rsidR="001877CE">
        <w:rPr>
          <w:rFonts w:cs="Helvetica"/>
          <w:sz w:val="24"/>
        </w:rPr>
        <w:t>unnecessary</w:t>
      </w:r>
      <w:r w:rsidR="00ED3E8C" w:rsidRPr="008A7715">
        <w:rPr>
          <w:rFonts w:cs="Helvetica"/>
          <w:sz w:val="24"/>
        </w:rPr>
        <w:t>.</w:t>
      </w:r>
    </w:p>
    <w:p w14:paraId="24F2B1CA" w14:textId="77777777" w:rsidR="00E90A19" w:rsidRPr="00F63A24" w:rsidRDefault="00E90A19" w:rsidP="00437EDC">
      <w:pPr>
        <w:rPr>
          <w:rFonts w:cs="Helvetica"/>
          <w:sz w:val="24"/>
        </w:rPr>
      </w:pPr>
    </w:p>
    <w:p w14:paraId="0D9B6BC7" w14:textId="1B67EC70" w:rsidR="00D45572" w:rsidRDefault="002743C4" w:rsidP="00437EDC">
      <w:pPr>
        <w:pBdr>
          <w:top w:val="single" w:sz="36" w:space="0" w:color="800080"/>
          <w:left w:val="single" w:sz="36" w:space="0" w:color="800080"/>
          <w:bottom w:val="single" w:sz="36" w:space="1" w:color="800080"/>
          <w:right w:val="single" w:sz="36" w:space="4" w:color="800080"/>
        </w:pBdr>
        <w:jc w:val="center"/>
        <w:rPr>
          <w:rFonts w:cs="Helvetica"/>
          <w:b/>
          <w:sz w:val="24"/>
        </w:rPr>
      </w:pPr>
      <w:r>
        <w:rPr>
          <w:rFonts w:cs="Helvetica"/>
          <w:b/>
          <w:sz w:val="24"/>
        </w:rPr>
        <w:t xml:space="preserve">CONTINUE </w:t>
      </w:r>
      <w:r w:rsidR="004F18A7">
        <w:rPr>
          <w:rFonts w:cs="Helvetica"/>
          <w:b/>
          <w:sz w:val="24"/>
        </w:rPr>
        <w:t>SUPPORTING</w:t>
      </w:r>
      <w:r w:rsidR="00D45572" w:rsidRPr="00D45572">
        <w:rPr>
          <w:rFonts w:cs="Helvetica"/>
          <w:b/>
          <w:sz w:val="24"/>
        </w:rPr>
        <w:t xml:space="preserve"> EQUAL ACCESS AND OPPORTUNITY</w:t>
      </w:r>
      <w:r w:rsidR="00D45572">
        <w:rPr>
          <w:rFonts w:cs="Helvetica"/>
          <w:b/>
          <w:sz w:val="24"/>
        </w:rPr>
        <w:t xml:space="preserve"> FOR</w:t>
      </w:r>
      <w:r>
        <w:rPr>
          <w:rFonts w:cs="Helvetica"/>
          <w:b/>
          <w:sz w:val="24"/>
        </w:rPr>
        <w:t xml:space="preserve"> BLIND AMERICANS</w:t>
      </w:r>
      <w:r w:rsidR="00FA4F32">
        <w:rPr>
          <w:rFonts w:cs="Helvetica"/>
          <w:b/>
          <w:sz w:val="24"/>
        </w:rPr>
        <w:t xml:space="preserve"> </w:t>
      </w:r>
      <w:r w:rsidR="007824CD">
        <w:rPr>
          <w:rFonts w:cs="Helvetica"/>
          <w:b/>
          <w:sz w:val="24"/>
        </w:rPr>
        <w:t>WHILE ALSO AVOIDING WASTEFUL AND DUPLICATIVE PROGRAMS AT TAXPAYER EXPENSE.</w:t>
      </w:r>
    </w:p>
    <w:p w14:paraId="1E825928" w14:textId="77777777" w:rsidR="00437EDC" w:rsidRPr="00F63A24" w:rsidRDefault="00D45572" w:rsidP="00437EDC">
      <w:pPr>
        <w:pBdr>
          <w:top w:val="single" w:sz="36" w:space="0" w:color="800080"/>
          <w:left w:val="single" w:sz="36" w:space="0" w:color="800080"/>
          <w:bottom w:val="single" w:sz="36" w:space="1" w:color="800080"/>
          <w:right w:val="single" w:sz="36" w:space="4" w:color="800080"/>
        </w:pBdr>
        <w:jc w:val="center"/>
        <w:rPr>
          <w:rFonts w:cs="Helvetica"/>
          <w:b/>
          <w:bCs/>
          <w:color w:val="000000"/>
          <w:sz w:val="24"/>
        </w:rPr>
      </w:pPr>
      <w:r>
        <w:rPr>
          <w:rFonts w:cs="Helvetica"/>
          <w:b/>
          <w:sz w:val="24"/>
        </w:rPr>
        <w:t>O</w:t>
      </w:r>
      <w:r w:rsidRPr="00D45572">
        <w:rPr>
          <w:rFonts w:cs="Helvetica"/>
          <w:b/>
          <w:sz w:val="24"/>
        </w:rPr>
        <w:t>ppos</w:t>
      </w:r>
      <w:r>
        <w:rPr>
          <w:rFonts w:cs="Helvetica"/>
          <w:b/>
          <w:sz w:val="24"/>
        </w:rPr>
        <w:t>e</w:t>
      </w:r>
      <w:r w:rsidRPr="00D45572">
        <w:rPr>
          <w:rFonts w:cs="Helvetica"/>
          <w:b/>
          <w:sz w:val="24"/>
        </w:rPr>
        <w:t xml:space="preserve"> H.R. 620.</w:t>
      </w:r>
    </w:p>
    <w:p w14:paraId="09A31F4A" w14:textId="77777777" w:rsidR="00437EDC" w:rsidRDefault="00437EDC" w:rsidP="00437EDC">
      <w:pPr>
        <w:jc w:val="center"/>
        <w:rPr>
          <w:rFonts w:cs="Helvetica"/>
          <w:b/>
          <w:sz w:val="24"/>
        </w:rPr>
      </w:pPr>
    </w:p>
    <w:p w14:paraId="51F3FF7F" w14:textId="7CE63E74" w:rsidR="00D45572" w:rsidRPr="00D45572" w:rsidRDefault="00D45572" w:rsidP="00D45572">
      <w:pPr>
        <w:jc w:val="center"/>
        <w:rPr>
          <w:rFonts w:cs="Helvetica"/>
          <w:b/>
          <w:sz w:val="24"/>
        </w:rPr>
      </w:pPr>
      <w:r w:rsidRPr="00D45572">
        <w:rPr>
          <w:rFonts w:cs="Helvetica"/>
          <w:b/>
          <w:sz w:val="24"/>
        </w:rPr>
        <w:t>For more information</w:t>
      </w:r>
      <w:r w:rsidR="00FD7049">
        <w:rPr>
          <w:rFonts w:cs="Helvetica"/>
          <w:b/>
          <w:sz w:val="24"/>
        </w:rPr>
        <w:t>,</w:t>
      </w:r>
      <w:r w:rsidRPr="00D45572">
        <w:rPr>
          <w:rFonts w:cs="Helvetica"/>
          <w:b/>
          <w:sz w:val="24"/>
        </w:rPr>
        <w:t xml:space="preserve"> contact:</w:t>
      </w:r>
    </w:p>
    <w:p w14:paraId="189D8C06" w14:textId="77777777" w:rsidR="00D45572" w:rsidRPr="00D45572" w:rsidRDefault="00D45572" w:rsidP="00D45572">
      <w:pPr>
        <w:jc w:val="center"/>
        <w:rPr>
          <w:rFonts w:cs="Helvetica"/>
          <w:sz w:val="24"/>
        </w:rPr>
      </w:pPr>
      <w:r w:rsidRPr="00D45572">
        <w:rPr>
          <w:rFonts w:cs="Helvetica"/>
          <w:sz w:val="24"/>
        </w:rPr>
        <w:t>Dylan Hedtler-Gaudette, Government Affairs Specialist, National Federation of the Blind</w:t>
      </w:r>
    </w:p>
    <w:p w14:paraId="0B0F68E4" w14:textId="00988B86" w:rsidR="00D45572" w:rsidRPr="00D45572" w:rsidRDefault="007B7FB5" w:rsidP="00B5588F">
      <w:pPr>
        <w:jc w:val="center"/>
        <w:rPr>
          <w:rFonts w:cs="Helvetica"/>
          <w:sz w:val="24"/>
        </w:rPr>
      </w:pPr>
      <w:r>
        <w:rPr>
          <w:rFonts w:cs="Helvetica"/>
          <w:sz w:val="24"/>
        </w:rPr>
        <w:t>Phone: (410) 659-</w:t>
      </w:r>
      <w:r w:rsidR="00D45572" w:rsidRPr="00D45572">
        <w:rPr>
          <w:rFonts w:cs="Helvetica"/>
          <w:sz w:val="24"/>
        </w:rPr>
        <w:t>9314, extension 2210</w:t>
      </w:r>
      <w:r w:rsidR="00FD7049">
        <w:rPr>
          <w:rFonts w:cs="Helvetica"/>
          <w:sz w:val="24"/>
        </w:rPr>
        <w:t xml:space="preserve">, </w:t>
      </w:r>
      <w:r w:rsidR="00D45572" w:rsidRPr="00D45572">
        <w:rPr>
          <w:rFonts w:cs="Helvetica"/>
          <w:sz w:val="24"/>
        </w:rPr>
        <w:t xml:space="preserve">Email: </w:t>
      </w:r>
      <w:r w:rsidR="007824CD" w:rsidRPr="00D178B7">
        <w:rPr>
          <w:rFonts w:cs="Helvetica"/>
          <w:sz w:val="24"/>
        </w:rPr>
        <w:t>dhedtler-gaudette@nfb.org</w:t>
      </w:r>
    </w:p>
    <w:sectPr w:rsidR="00D45572" w:rsidRPr="00D45572" w:rsidSect="00636C56">
      <w:footerReference w:type="default" r:id="rId9"/>
      <w:headerReference w:type="first" r:id="rId10"/>
      <w:footerReference w:type="first" r:id="rId11"/>
      <w:endnotePr>
        <w:numFmt w:val="decimal"/>
      </w:endnotePr>
      <w:pgSz w:w="12240" w:h="15840" w:code="1"/>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B8FCE" w14:textId="77777777" w:rsidR="00F92990" w:rsidRDefault="00F92990">
      <w:r>
        <w:separator/>
      </w:r>
    </w:p>
  </w:endnote>
  <w:endnote w:type="continuationSeparator" w:id="0">
    <w:p w14:paraId="3F88CCE9" w14:textId="77777777" w:rsidR="00F92990" w:rsidRDefault="00F92990">
      <w:r>
        <w:continuationSeparator/>
      </w:r>
    </w:p>
  </w:endnote>
  <w:endnote w:id="1">
    <w:p w14:paraId="46F28000" w14:textId="41D60182" w:rsidR="00B714F0" w:rsidRPr="005D0ECE" w:rsidRDefault="00D178B7" w:rsidP="002D2007">
      <w:pPr>
        <w:pStyle w:val="EndnoteText"/>
        <w:rPr>
          <w:sz w:val="16"/>
          <w:szCs w:val="16"/>
        </w:rPr>
      </w:pPr>
      <w:r w:rsidRPr="005D0ECE">
        <w:rPr>
          <w:rStyle w:val="EndnoteReference"/>
          <w:sz w:val="16"/>
          <w:szCs w:val="16"/>
        </w:rPr>
        <w:endnoteRef/>
      </w:r>
      <w:r w:rsidRPr="005D0ECE">
        <w:rPr>
          <w:sz w:val="16"/>
          <w:szCs w:val="16"/>
        </w:rPr>
        <w:t xml:space="preserve"> </w:t>
      </w:r>
      <w:proofErr w:type="gramStart"/>
      <w:r w:rsidR="00B714F0" w:rsidRPr="005D0ECE">
        <w:rPr>
          <w:sz w:val="16"/>
          <w:szCs w:val="16"/>
        </w:rPr>
        <w:t>“Comparison of 115th ADA Notification Bills.”</w:t>
      </w:r>
      <w:proofErr w:type="gramEnd"/>
      <w:r w:rsidR="00B714F0" w:rsidRPr="005D0ECE">
        <w:rPr>
          <w:sz w:val="16"/>
          <w:szCs w:val="16"/>
        </w:rPr>
        <w:t xml:space="preserve"> </w:t>
      </w:r>
      <w:proofErr w:type="gramStart"/>
      <w:r w:rsidR="00B714F0" w:rsidRPr="005D0ECE">
        <w:rPr>
          <w:sz w:val="16"/>
          <w:szCs w:val="16"/>
        </w:rPr>
        <w:t>Last modified October 3, 2017.</w:t>
      </w:r>
      <w:proofErr w:type="gramEnd"/>
      <w:r w:rsidR="00B714F0" w:rsidRPr="005D0ECE">
        <w:rPr>
          <w:sz w:val="16"/>
          <w:szCs w:val="16"/>
        </w:rPr>
        <w:t xml:space="preserve"> </w:t>
      </w:r>
      <w:hyperlink r:id="rId1" w:history="1">
        <w:r w:rsidR="002D2007" w:rsidRPr="00184312">
          <w:rPr>
            <w:rStyle w:val="Hyperlink"/>
            <w:sz w:val="16"/>
            <w:szCs w:val="16"/>
          </w:rPr>
          <w:t>http://www.c-c-d.org/fichiers/Comparison-of-115th-ADA-Notification-BIlls-NDRN-DB-Oct-2017.pdf</w:t>
        </w:r>
      </w:hyperlink>
      <w:r w:rsidR="00B714F0" w:rsidRPr="005D0ECE">
        <w:rPr>
          <w:sz w:val="16"/>
          <w:szCs w:val="16"/>
        </w:rPr>
        <w:t>.</w:t>
      </w:r>
      <w:r w:rsidR="002D2007">
        <w:rPr>
          <w:sz w:val="16"/>
          <w:szCs w:val="16"/>
        </w:rPr>
        <w:t xml:space="preserve"> </w:t>
      </w:r>
    </w:p>
  </w:endnote>
  <w:endnote w:id="2">
    <w:p w14:paraId="46149AE0" w14:textId="2848517B" w:rsidR="004E5BF6" w:rsidRPr="005D0ECE" w:rsidRDefault="004E5BF6" w:rsidP="002D2007">
      <w:pPr>
        <w:pStyle w:val="EndnoteText"/>
        <w:rPr>
          <w:sz w:val="16"/>
          <w:szCs w:val="16"/>
        </w:rPr>
      </w:pPr>
      <w:r w:rsidRPr="005D0ECE">
        <w:rPr>
          <w:rStyle w:val="EndnoteReference"/>
          <w:sz w:val="16"/>
          <w:szCs w:val="16"/>
        </w:rPr>
        <w:endnoteRef/>
      </w:r>
      <w:r w:rsidRPr="005D0ECE">
        <w:rPr>
          <w:sz w:val="16"/>
          <w:szCs w:val="16"/>
        </w:rPr>
        <w:t xml:space="preserve"> Rogers, Chip. </w:t>
      </w:r>
      <w:proofErr w:type="gramStart"/>
      <w:r w:rsidRPr="005D0ECE">
        <w:rPr>
          <w:sz w:val="16"/>
          <w:szCs w:val="16"/>
        </w:rPr>
        <w:t>“A bipartisan solution to stopping drive-by lawsuits.”</w:t>
      </w:r>
      <w:proofErr w:type="gramEnd"/>
      <w:r w:rsidRPr="005D0ECE">
        <w:rPr>
          <w:sz w:val="16"/>
          <w:szCs w:val="16"/>
        </w:rPr>
        <w:t xml:space="preserve"> </w:t>
      </w:r>
      <w:proofErr w:type="gramStart"/>
      <w:r w:rsidRPr="005D0ECE">
        <w:rPr>
          <w:i/>
          <w:sz w:val="16"/>
          <w:szCs w:val="16"/>
        </w:rPr>
        <w:t>The Hill</w:t>
      </w:r>
      <w:r w:rsidRPr="005D0ECE">
        <w:rPr>
          <w:sz w:val="16"/>
          <w:szCs w:val="16"/>
        </w:rPr>
        <w:t>.</w:t>
      </w:r>
      <w:proofErr w:type="gramEnd"/>
      <w:r w:rsidRPr="005D0ECE">
        <w:rPr>
          <w:sz w:val="16"/>
          <w:szCs w:val="16"/>
        </w:rPr>
        <w:t xml:space="preserve"> September 8, 2017. </w:t>
      </w:r>
      <w:hyperlink r:id="rId2" w:history="1">
        <w:r w:rsidR="002D2007" w:rsidRPr="00184312">
          <w:rPr>
            <w:rStyle w:val="Hyperlink"/>
            <w:sz w:val="16"/>
            <w:szCs w:val="16"/>
          </w:rPr>
          <w:t>http://thehill.com/blogs/congress-blog/judicial/349835-a-bipartisan-solution-to-stopping-drive-by-lawsuits</w:t>
        </w:r>
      </w:hyperlink>
      <w:r w:rsidRPr="005D0ECE">
        <w:rPr>
          <w:sz w:val="16"/>
          <w:szCs w:val="16"/>
        </w:rPr>
        <w:t>.</w:t>
      </w:r>
      <w:r w:rsidR="002D2007">
        <w:rPr>
          <w:sz w:val="16"/>
          <w:szCs w:val="16"/>
        </w:rPr>
        <w:t xml:space="preserve"> </w:t>
      </w:r>
    </w:p>
  </w:endnote>
  <w:endnote w:id="3">
    <w:p w14:paraId="134F9D94" w14:textId="351B0B28" w:rsidR="004E5BF6" w:rsidRPr="005D0ECE" w:rsidRDefault="004E5BF6">
      <w:pPr>
        <w:pStyle w:val="EndnoteText"/>
        <w:rPr>
          <w:sz w:val="16"/>
          <w:szCs w:val="16"/>
        </w:rPr>
      </w:pPr>
      <w:r w:rsidRPr="005D0ECE">
        <w:rPr>
          <w:rStyle w:val="EndnoteReference"/>
          <w:sz w:val="16"/>
          <w:szCs w:val="16"/>
        </w:rPr>
        <w:endnoteRef/>
      </w:r>
      <w:r w:rsidRPr="005D0ECE">
        <w:rPr>
          <w:sz w:val="16"/>
          <w:szCs w:val="16"/>
        </w:rPr>
        <w:t xml:space="preserve"> </w:t>
      </w:r>
      <w:r w:rsidR="00EC64B4" w:rsidRPr="005D0ECE">
        <w:rPr>
          <w:sz w:val="16"/>
          <w:szCs w:val="16"/>
        </w:rPr>
        <w:t>42 U.S. Code § 12188 (b)(4)</w:t>
      </w:r>
    </w:p>
  </w:endnote>
  <w:endnote w:id="4">
    <w:p w14:paraId="2165A40F" w14:textId="624A2A8D" w:rsidR="00EC64B4" w:rsidRPr="005D0ECE" w:rsidRDefault="00EC64B4">
      <w:pPr>
        <w:pStyle w:val="EndnoteText"/>
        <w:rPr>
          <w:sz w:val="16"/>
          <w:szCs w:val="16"/>
        </w:rPr>
      </w:pPr>
      <w:r w:rsidRPr="005D0ECE">
        <w:rPr>
          <w:rStyle w:val="EndnoteReference"/>
          <w:sz w:val="16"/>
          <w:szCs w:val="16"/>
        </w:rPr>
        <w:endnoteRef/>
      </w:r>
      <w:r w:rsidRPr="005D0ECE">
        <w:rPr>
          <w:sz w:val="16"/>
          <w:szCs w:val="16"/>
        </w:rPr>
        <w:t xml:space="preserve"> </w:t>
      </w:r>
      <w:r w:rsidR="002D2C6A">
        <w:rPr>
          <w:sz w:val="16"/>
          <w:szCs w:val="16"/>
        </w:rPr>
        <w:t>42 U.S.C.</w:t>
      </w:r>
      <w:r w:rsidR="005D0ECE" w:rsidRPr="005D0ECE">
        <w:rPr>
          <w:sz w:val="16"/>
          <w:szCs w:val="16"/>
        </w:rPr>
        <w:t xml:space="preserve"> § 12183 (a)(1)</w:t>
      </w:r>
    </w:p>
  </w:endnote>
  <w:endnote w:id="5">
    <w:p w14:paraId="23B4172B" w14:textId="3754512E" w:rsidR="00EC64B4" w:rsidRPr="005D0ECE" w:rsidRDefault="00EC64B4">
      <w:pPr>
        <w:pStyle w:val="EndnoteText"/>
        <w:rPr>
          <w:sz w:val="16"/>
          <w:szCs w:val="16"/>
        </w:rPr>
      </w:pPr>
      <w:r w:rsidRPr="005D0ECE">
        <w:rPr>
          <w:rStyle w:val="EndnoteReference"/>
          <w:sz w:val="16"/>
          <w:szCs w:val="16"/>
        </w:rPr>
        <w:endnoteRef/>
      </w:r>
      <w:r w:rsidRPr="005D0ECE">
        <w:rPr>
          <w:sz w:val="16"/>
          <w:szCs w:val="16"/>
        </w:rPr>
        <w:t xml:space="preserve"> </w:t>
      </w:r>
      <w:r w:rsidR="005D0ECE" w:rsidRPr="005D0ECE">
        <w:rPr>
          <w:sz w:val="16"/>
          <w:szCs w:val="16"/>
        </w:rPr>
        <w:t>28 CFR 36.104</w:t>
      </w:r>
    </w:p>
  </w:endnote>
  <w:endnote w:id="6">
    <w:p w14:paraId="03695D11" w14:textId="3B5A9ACE" w:rsidR="00EC64B4" w:rsidRPr="005D0ECE" w:rsidRDefault="00EC64B4" w:rsidP="002D2007">
      <w:pPr>
        <w:pStyle w:val="EndnoteText"/>
        <w:rPr>
          <w:sz w:val="16"/>
          <w:szCs w:val="16"/>
        </w:rPr>
      </w:pPr>
      <w:r w:rsidRPr="005D0ECE">
        <w:rPr>
          <w:rStyle w:val="EndnoteReference"/>
          <w:sz w:val="16"/>
          <w:szCs w:val="16"/>
        </w:rPr>
        <w:endnoteRef/>
      </w:r>
      <w:r w:rsidRPr="005D0ECE">
        <w:rPr>
          <w:sz w:val="16"/>
          <w:szCs w:val="16"/>
        </w:rPr>
        <w:t xml:space="preserve"> </w:t>
      </w:r>
      <w:proofErr w:type="gramStart"/>
      <w:r w:rsidRPr="005D0ECE">
        <w:rPr>
          <w:sz w:val="16"/>
          <w:szCs w:val="16"/>
        </w:rPr>
        <w:t>ADA National Network.</w:t>
      </w:r>
      <w:proofErr w:type="gramEnd"/>
      <w:r w:rsidRPr="005D0ECE">
        <w:rPr>
          <w:sz w:val="16"/>
          <w:szCs w:val="16"/>
        </w:rPr>
        <w:t xml:space="preserve"> “Contact Your Region/ADA Center.” </w:t>
      </w:r>
      <w:proofErr w:type="gramStart"/>
      <w:r w:rsidRPr="005D0ECE">
        <w:rPr>
          <w:sz w:val="16"/>
          <w:szCs w:val="16"/>
        </w:rPr>
        <w:t>Accessed January 9, 2018.</w:t>
      </w:r>
      <w:proofErr w:type="gramEnd"/>
      <w:r w:rsidRPr="005D0ECE">
        <w:rPr>
          <w:sz w:val="16"/>
          <w:szCs w:val="16"/>
        </w:rPr>
        <w:t xml:space="preserve"> https://adata.org/find-your-region.</w:t>
      </w:r>
    </w:p>
  </w:endnote>
  <w:endnote w:id="7">
    <w:p w14:paraId="08B8F93D" w14:textId="7A7560DF" w:rsidR="00EC64B4" w:rsidRPr="005D0ECE" w:rsidRDefault="00EC64B4" w:rsidP="002D2007">
      <w:pPr>
        <w:pStyle w:val="EndnoteText"/>
        <w:rPr>
          <w:sz w:val="16"/>
          <w:szCs w:val="16"/>
        </w:rPr>
      </w:pPr>
      <w:r w:rsidRPr="005D0ECE">
        <w:rPr>
          <w:rStyle w:val="EndnoteReference"/>
          <w:sz w:val="16"/>
          <w:szCs w:val="16"/>
        </w:rPr>
        <w:endnoteRef/>
      </w:r>
      <w:r w:rsidRPr="005D0ECE">
        <w:rPr>
          <w:sz w:val="16"/>
          <w:szCs w:val="16"/>
        </w:rPr>
        <w:t xml:space="preserve"> </w:t>
      </w:r>
      <w:proofErr w:type="gramStart"/>
      <w:r w:rsidRPr="005D0ECE">
        <w:rPr>
          <w:sz w:val="16"/>
          <w:szCs w:val="16"/>
        </w:rPr>
        <w:t>United States Department of Justice Civil Rights Division.</w:t>
      </w:r>
      <w:proofErr w:type="gramEnd"/>
      <w:r w:rsidRPr="005D0ECE">
        <w:rPr>
          <w:sz w:val="16"/>
          <w:szCs w:val="16"/>
        </w:rPr>
        <w:t xml:space="preserve"> </w:t>
      </w:r>
      <w:proofErr w:type="gramStart"/>
      <w:r w:rsidRPr="005D0ECE">
        <w:rPr>
          <w:sz w:val="16"/>
          <w:szCs w:val="16"/>
        </w:rPr>
        <w:t>“ADA Information Line.”</w:t>
      </w:r>
      <w:proofErr w:type="gramEnd"/>
      <w:r w:rsidRPr="005D0ECE">
        <w:rPr>
          <w:sz w:val="16"/>
          <w:szCs w:val="16"/>
        </w:rPr>
        <w:t xml:space="preserve"> </w:t>
      </w:r>
      <w:proofErr w:type="gramStart"/>
      <w:r w:rsidRPr="005D0ECE">
        <w:rPr>
          <w:sz w:val="16"/>
          <w:szCs w:val="16"/>
        </w:rPr>
        <w:t>Information and Technical Assistance on the Americans with Disabilities Act.</w:t>
      </w:r>
      <w:proofErr w:type="gramEnd"/>
      <w:r w:rsidRPr="005D0ECE">
        <w:rPr>
          <w:sz w:val="16"/>
          <w:szCs w:val="16"/>
        </w:rPr>
        <w:t xml:space="preserve"> </w:t>
      </w:r>
      <w:proofErr w:type="gramStart"/>
      <w:r w:rsidRPr="005D0ECE">
        <w:rPr>
          <w:sz w:val="16"/>
          <w:szCs w:val="16"/>
        </w:rPr>
        <w:t>Accessed January 9, 2018.</w:t>
      </w:r>
      <w:proofErr w:type="gramEnd"/>
      <w:r w:rsidRPr="005D0ECE">
        <w:rPr>
          <w:sz w:val="16"/>
          <w:szCs w:val="16"/>
        </w:rPr>
        <w:t xml:space="preserve"> </w:t>
      </w:r>
      <w:hyperlink r:id="rId3" w:history="1">
        <w:r w:rsidR="002D2007" w:rsidRPr="00184312">
          <w:rPr>
            <w:rStyle w:val="Hyperlink"/>
            <w:sz w:val="16"/>
            <w:szCs w:val="16"/>
          </w:rPr>
          <w:t>https://www.ada.gov/infoline.htm</w:t>
        </w:r>
      </w:hyperlink>
      <w:r w:rsidRPr="005D0ECE">
        <w:rPr>
          <w:sz w:val="16"/>
          <w:szCs w:val="16"/>
        </w:rPr>
        <w:t>.</w:t>
      </w:r>
      <w:r w:rsidR="002D2007">
        <w:rPr>
          <w:sz w:val="16"/>
          <w:szCs w:val="16"/>
        </w:rPr>
        <w:t xml:space="preserve"> </w:t>
      </w:r>
    </w:p>
  </w:endnote>
  <w:endnote w:id="8">
    <w:p w14:paraId="7CAE0F11" w14:textId="7BD893AF" w:rsidR="00EC64B4" w:rsidRPr="005D0ECE" w:rsidRDefault="00EC64B4" w:rsidP="002D2007">
      <w:pPr>
        <w:pStyle w:val="EndnoteText"/>
        <w:rPr>
          <w:sz w:val="16"/>
          <w:szCs w:val="16"/>
        </w:rPr>
      </w:pPr>
      <w:r w:rsidRPr="005D0ECE">
        <w:rPr>
          <w:rStyle w:val="EndnoteReference"/>
          <w:sz w:val="16"/>
          <w:szCs w:val="16"/>
        </w:rPr>
        <w:endnoteRef/>
      </w:r>
      <w:r w:rsidRPr="005D0ECE">
        <w:rPr>
          <w:sz w:val="16"/>
          <w:szCs w:val="16"/>
        </w:rPr>
        <w:t xml:space="preserve"> </w:t>
      </w:r>
      <w:proofErr w:type="gramStart"/>
      <w:r w:rsidR="005D0ECE" w:rsidRPr="005D0ECE">
        <w:rPr>
          <w:sz w:val="16"/>
          <w:szCs w:val="16"/>
        </w:rPr>
        <w:t>United States Department of Justice Civil Rights Division.</w:t>
      </w:r>
      <w:proofErr w:type="gramEnd"/>
      <w:r w:rsidR="005D0ECE" w:rsidRPr="005D0ECE">
        <w:rPr>
          <w:sz w:val="16"/>
          <w:szCs w:val="16"/>
        </w:rPr>
        <w:t xml:space="preserve"> </w:t>
      </w:r>
      <w:proofErr w:type="gramStart"/>
      <w:r w:rsidR="005D0ECE" w:rsidRPr="005D0ECE">
        <w:rPr>
          <w:sz w:val="16"/>
          <w:szCs w:val="16"/>
        </w:rPr>
        <w:t>“ADA Technical Assistance Materials.”</w:t>
      </w:r>
      <w:proofErr w:type="gramEnd"/>
      <w:r w:rsidR="005D0ECE" w:rsidRPr="005D0ECE">
        <w:rPr>
          <w:sz w:val="16"/>
          <w:szCs w:val="16"/>
        </w:rPr>
        <w:t xml:space="preserve"> </w:t>
      </w:r>
      <w:proofErr w:type="gramStart"/>
      <w:r w:rsidR="005D0ECE" w:rsidRPr="005D0ECE">
        <w:rPr>
          <w:sz w:val="16"/>
          <w:szCs w:val="16"/>
        </w:rPr>
        <w:t>Information and Technical Assistance on the Americans with Disabilities Act.</w:t>
      </w:r>
      <w:proofErr w:type="gramEnd"/>
      <w:r w:rsidR="005D0ECE" w:rsidRPr="005D0ECE">
        <w:rPr>
          <w:sz w:val="16"/>
          <w:szCs w:val="16"/>
        </w:rPr>
        <w:t xml:space="preserve"> </w:t>
      </w:r>
      <w:proofErr w:type="gramStart"/>
      <w:r w:rsidR="005D0ECE" w:rsidRPr="005D0ECE">
        <w:rPr>
          <w:sz w:val="16"/>
          <w:szCs w:val="16"/>
        </w:rPr>
        <w:t>Accessed January 9, 2018.</w:t>
      </w:r>
      <w:proofErr w:type="gramEnd"/>
      <w:r w:rsidR="005D0ECE" w:rsidRPr="005D0ECE">
        <w:rPr>
          <w:sz w:val="16"/>
          <w:szCs w:val="16"/>
        </w:rPr>
        <w:t xml:space="preserve"> </w:t>
      </w:r>
      <w:hyperlink r:id="rId4" w:history="1">
        <w:r w:rsidR="002D2007" w:rsidRPr="00184312">
          <w:rPr>
            <w:rStyle w:val="Hyperlink"/>
            <w:sz w:val="16"/>
            <w:szCs w:val="16"/>
          </w:rPr>
          <w:t>https://www.ada.gov/ta-pubs-pg2.htm</w:t>
        </w:r>
      </w:hyperlink>
      <w:r w:rsidR="005D0ECE" w:rsidRPr="005D0ECE">
        <w:rPr>
          <w:sz w:val="16"/>
          <w:szCs w:val="16"/>
        </w:rPr>
        <w:t>.</w:t>
      </w:r>
      <w:r w:rsidR="002D2007">
        <w:rPr>
          <w:sz w:val="16"/>
          <w:szCs w:val="16"/>
        </w:rPr>
        <w:t xml:space="preserve"> </w:t>
      </w:r>
    </w:p>
  </w:endnote>
  <w:endnote w:id="9">
    <w:p w14:paraId="1ABC06DF" w14:textId="189E1B74" w:rsidR="005D0ECE" w:rsidRPr="005D0ECE" w:rsidRDefault="005D0ECE" w:rsidP="002D2007">
      <w:pPr>
        <w:pStyle w:val="EndnoteText"/>
        <w:rPr>
          <w:sz w:val="16"/>
          <w:szCs w:val="16"/>
        </w:rPr>
      </w:pPr>
      <w:r w:rsidRPr="005D0ECE">
        <w:rPr>
          <w:rStyle w:val="EndnoteReference"/>
          <w:sz w:val="16"/>
          <w:szCs w:val="16"/>
        </w:rPr>
        <w:endnoteRef/>
      </w:r>
      <w:r w:rsidRPr="005D0ECE">
        <w:rPr>
          <w:sz w:val="16"/>
          <w:szCs w:val="16"/>
        </w:rPr>
        <w:t xml:space="preserve"> </w:t>
      </w:r>
      <w:proofErr w:type="gramStart"/>
      <w:r w:rsidRPr="005D0ECE">
        <w:rPr>
          <w:sz w:val="16"/>
          <w:szCs w:val="16"/>
        </w:rPr>
        <w:t>United States Department of Justice Civil Rights Division.</w:t>
      </w:r>
      <w:proofErr w:type="gramEnd"/>
      <w:r w:rsidRPr="005D0ECE">
        <w:rPr>
          <w:sz w:val="16"/>
          <w:szCs w:val="16"/>
        </w:rPr>
        <w:t xml:space="preserve"> “Department of Justice ADA Responsibilities: ADA Mediation Program.” </w:t>
      </w:r>
      <w:proofErr w:type="gramStart"/>
      <w:r w:rsidRPr="005D0ECE">
        <w:rPr>
          <w:sz w:val="16"/>
          <w:szCs w:val="16"/>
        </w:rPr>
        <w:t>Information and Technical Assistance on the Americans with Disabilities Act.</w:t>
      </w:r>
      <w:proofErr w:type="gramEnd"/>
      <w:r w:rsidRPr="005D0ECE">
        <w:rPr>
          <w:sz w:val="16"/>
          <w:szCs w:val="16"/>
        </w:rPr>
        <w:t xml:space="preserve"> </w:t>
      </w:r>
      <w:proofErr w:type="gramStart"/>
      <w:r w:rsidRPr="005D0ECE">
        <w:rPr>
          <w:sz w:val="16"/>
          <w:szCs w:val="16"/>
        </w:rPr>
        <w:t>Accessed January 9, 2018.</w:t>
      </w:r>
      <w:proofErr w:type="gramEnd"/>
      <w:r w:rsidRPr="005D0ECE">
        <w:rPr>
          <w:sz w:val="16"/>
          <w:szCs w:val="16"/>
        </w:rPr>
        <w:t xml:space="preserve"> </w:t>
      </w:r>
      <w:hyperlink r:id="rId5" w:history="1">
        <w:r w:rsidR="002D2007" w:rsidRPr="00184312">
          <w:rPr>
            <w:rStyle w:val="Hyperlink"/>
            <w:sz w:val="16"/>
            <w:szCs w:val="16"/>
          </w:rPr>
          <w:t>https://www.ada.gov/mediate.htm</w:t>
        </w:r>
      </w:hyperlink>
      <w:r>
        <w:rPr>
          <w:sz w:val="16"/>
          <w:szCs w:val="16"/>
        </w:rPr>
        <w:t>.</w:t>
      </w:r>
      <w:r w:rsidR="002D2007">
        <w:rPr>
          <w:sz w:val="16"/>
          <w:szCs w:val="16"/>
        </w:rPr>
        <w:t xml:space="preserve"> </w:t>
      </w:r>
    </w:p>
    <w:p w14:paraId="79BD537E" w14:textId="7809485C" w:rsidR="005D0ECE" w:rsidRDefault="005D0EC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72A87" w14:textId="595E0DD1" w:rsidR="00226FA7" w:rsidRDefault="001912EB">
    <w:pPr>
      <w:pStyle w:val="Footer"/>
    </w:pPr>
    <w:r>
      <w:rPr>
        <w:noProof/>
      </w:rPr>
      <mc:AlternateContent>
        <mc:Choice Requires="wps">
          <w:drawing>
            <wp:anchor distT="0" distB="0" distL="114300" distR="114300" simplePos="0" relativeHeight="251663360" behindDoc="0" locked="0" layoutInCell="1" allowOverlap="1" wp14:anchorId="75E99D87" wp14:editId="1E4D4DC3">
              <wp:simplePos x="0" y="0"/>
              <wp:positionH relativeFrom="column">
                <wp:posOffset>-342900</wp:posOffset>
              </wp:positionH>
              <wp:positionV relativeFrom="paragraph">
                <wp:posOffset>-32385</wp:posOffset>
              </wp:positionV>
              <wp:extent cx="732472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435B9" w14:textId="77777777"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14:paraId="499DCEE0" w14:textId="77777777"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proofErr w:type="gramStart"/>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pt;margin-top:-2.55pt;width:57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bo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" filled="f" stroked="f">
              <v:textbox>
                <w:txbxContent>
                  <w:p w14:paraId="505435B9" w14:textId="77777777"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14:paraId="499DCEE0" w14:textId="77777777"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proofErr w:type="gramStart"/>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DFF3D"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7E56665C" wp14:editId="53A1D766">
              <wp:simplePos x="0" y="0"/>
              <wp:positionH relativeFrom="column">
                <wp:posOffset>-352425</wp:posOffset>
              </wp:positionH>
              <wp:positionV relativeFrom="paragraph">
                <wp:posOffset>129540</wp:posOffset>
              </wp:positionV>
              <wp:extent cx="7324725"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65BD7" w14:textId="77777777"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proofErr w:type="gramStart"/>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75pt;margin-top:10.2pt;width:57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uu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" filled="f" stroked="f">
              <v:textbox>
                <w:txbxContent>
                  <w:p w14:paraId="60465BD7" w14:textId="77777777"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proofErr w:type="gramStart"/>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F6EA2" w14:textId="77777777" w:rsidR="00F92990" w:rsidRDefault="00F92990">
      <w:r>
        <w:separator/>
      </w:r>
    </w:p>
  </w:footnote>
  <w:footnote w:type="continuationSeparator" w:id="0">
    <w:p w14:paraId="17BFAF1F" w14:textId="77777777" w:rsidR="00F92990" w:rsidRDefault="00F92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5AA8A" w14:textId="77777777" w:rsidR="00226FA7" w:rsidRDefault="009D1D64">
    <w:pPr>
      <w:pStyle w:val="Header"/>
    </w:pPr>
    <w:r>
      <w:rPr>
        <w:noProof/>
      </w:rPr>
      <w:drawing>
        <wp:anchor distT="0" distB="0" distL="114300" distR="114300" simplePos="0" relativeHeight="251661312" behindDoc="0" locked="0" layoutInCell="1" allowOverlap="1" wp14:anchorId="16AD0649" wp14:editId="06D6ED33">
          <wp:simplePos x="0" y="0"/>
          <wp:positionH relativeFrom="column">
            <wp:posOffset>1409700</wp:posOffset>
          </wp:positionH>
          <wp:positionV relativeFrom="paragraph">
            <wp:posOffset>-190500</wp:posOffset>
          </wp:positionV>
          <wp:extent cx="3593592" cy="1389888"/>
          <wp:effectExtent l="0" t="0" r="6985" b="1270"/>
          <wp:wrapTopAndBottom/>
          <wp:docPr id="6" name="Picture 6" title="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592" cy="13898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0E0"/>
    <w:multiLevelType w:val="hybridMultilevel"/>
    <w:tmpl w:val="9918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D08"/>
    <w:multiLevelType w:val="hybridMultilevel"/>
    <w:tmpl w:val="378C6D3C"/>
    <w:lvl w:ilvl="0" w:tplc="0FC66BB4">
      <w:start w:val="8"/>
      <w:numFmt w:val="bullet"/>
      <w:lvlText w:val="-"/>
      <w:lvlJc w:val="left"/>
      <w:pPr>
        <w:ind w:left="720" w:hanging="360"/>
      </w:pPr>
      <w:rPr>
        <w:rFonts w:ascii="Helvetica" w:eastAsia="Times New Roman"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1A87F18-4579-404B-B024-002C4B8DA8F1}"/>
    <w:docVar w:name="dgnword-eventsink" w:val="109510720"/>
  </w:docVars>
  <w:rsids>
    <w:rsidRoot w:val="00437EDC"/>
    <w:rsid w:val="000047AE"/>
    <w:rsid w:val="0000720F"/>
    <w:rsid w:val="00022F50"/>
    <w:rsid w:val="00034FAD"/>
    <w:rsid w:val="00071BA2"/>
    <w:rsid w:val="00083ECE"/>
    <w:rsid w:val="00102868"/>
    <w:rsid w:val="0012566F"/>
    <w:rsid w:val="00146B45"/>
    <w:rsid w:val="0016502F"/>
    <w:rsid w:val="00170995"/>
    <w:rsid w:val="001877CE"/>
    <w:rsid w:val="001912EB"/>
    <w:rsid w:val="001A2570"/>
    <w:rsid w:val="001B6C81"/>
    <w:rsid w:val="001C360A"/>
    <w:rsid w:val="001F7DEC"/>
    <w:rsid w:val="00221611"/>
    <w:rsid w:val="00226FA7"/>
    <w:rsid w:val="0024227C"/>
    <w:rsid w:val="00263144"/>
    <w:rsid w:val="002743C4"/>
    <w:rsid w:val="002D2007"/>
    <w:rsid w:val="002D2C6A"/>
    <w:rsid w:val="002D757F"/>
    <w:rsid w:val="003028F8"/>
    <w:rsid w:val="00303615"/>
    <w:rsid w:val="0032488D"/>
    <w:rsid w:val="00347C60"/>
    <w:rsid w:val="0036380B"/>
    <w:rsid w:val="00366D30"/>
    <w:rsid w:val="003764C7"/>
    <w:rsid w:val="00397BEA"/>
    <w:rsid w:val="003A79C8"/>
    <w:rsid w:val="003C7DCD"/>
    <w:rsid w:val="003D0349"/>
    <w:rsid w:val="003E1221"/>
    <w:rsid w:val="003F265C"/>
    <w:rsid w:val="00420082"/>
    <w:rsid w:val="00437EDC"/>
    <w:rsid w:val="0048506F"/>
    <w:rsid w:val="00491A60"/>
    <w:rsid w:val="004B215B"/>
    <w:rsid w:val="004E5BF6"/>
    <w:rsid w:val="004F18A7"/>
    <w:rsid w:val="0053779B"/>
    <w:rsid w:val="00554087"/>
    <w:rsid w:val="005849EF"/>
    <w:rsid w:val="00584CF9"/>
    <w:rsid w:val="005C445B"/>
    <w:rsid w:val="005D0ECE"/>
    <w:rsid w:val="005E7E4B"/>
    <w:rsid w:val="005F01D2"/>
    <w:rsid w:val="005F4882"/>
    <w:rsid w:val="005F4CA5"/>
    <w:rsid w:val="005F6D84"/>
    <w:rsid w:val="006054E9"/>
    <w:rsid w:val="006306E3"/>
    <w:rsid w:val="006357D0"/>
    <w:rsid w:val="00636C56"/>
    <w:rsid w:val="00651537"/>
    <w:rsid w:val="00655FC6"/>
    <w:rsid w:val="006E426A"/>
    <w:rsid w:val="006F3187"/>
    <w:rsid w:val="0071501A"/>
    <w:rsid w:val="007824CD"/>
    <w:rsid w:val="007B7FB5"/>
    <w:rsid w:val="007C056B"/>
    <w:rsid w:val="00830537"/>
    <w:rsid w:val="00832F2E"/>
    <w:rsid w:val="00870902"/>
    <w:rsid w:val="008727B1"/>
    <w:rsid w:val="008A694A"/>
    <w:rsid w:val="008A7715"/>
    <w:rsid w:val="009328F9"/>
    <w:rsid w:val="009443E3"/>
    <w:rsid w:val="00944ECA"/>
    <w:rsid w:val="00952914"/>
    <w:rsid w:val="00955589"/>
    <w:rsid w:val="00977B25"/>
    <w:rsid w:val="00990159"/>
    <w:rsid w:val="009D1D64"/>
    <w:rsid w:val="009E0E47"/>
    <w:rsid w:val="009F0608"/>
    <w:rsid w:val="009F2C38"/>
    <w:rsid w:val="00A10D47"/>
    <w:rsid w:val="00A3286B"/>
    <w:rsid w:val="00A3469F"/>
    <w:rsid w:val="00A541FF"/>
    <w:rsid w:val="00A55A8A"/>
    <w:rsid w:val="00A918DC"/>
    <w:rsid w:val="00AB085D"/>
    <w:rsid w:val="00AF59A1"/>
    <w:rsid w:val="00B1070A"/>
    <w:rsid w:val="00B179B5"/>
    <w:rsid w:val="00B403AC"/>
    <w:rsid w:val="00B5588F"/>
    <w:rsid w:val="00B621F2"/>
    <w:rsid w:val="00B714F0"/>
    <w:rsid w:val="00B971FE"/>
    <w:rsid w:val="00BA1499"/>
    <w:rsid w:val="00BE2C5A"/>
    <w:rsid w:val="00BF3BCD"/>
    <w:rsid w:val="00C01EDC"/>
    <w:rsid w:val="00C63D14"/>
    <w:rsid w:val="00C973AE"/>
    <w:rsid w:val="00CC5F37"/>
    <w:rsid w:val="00CF5339"/>
    <w:rsid w:val="00D14D3B"/>
    <w:rsid w:val="00D178B7"/>
    <w:rsid w:val="00D2780A"/>
    <w:rsid w:val="00D45572"/>
    <w:rsid w:val="00D83224"/>
    <w:rsid w:val="00D83963"/>
    <w:rsid w:val="00D956B4"/>
    <w:rsid w:val="00DA02BC"/>
    <w:rsid w:val="00DA487D"/>
    <w:rsid w:val="00DA6793"/>
    <w:rsid w:val="00DD4CBD"/>
    <w:rsid w:val="00DF2F62"/>
    <w:rsid w:val="00E01A23"/>
    <w:rsid w:val="00E31A89"/>
    <w:rsid w:val="00E500C4"/>
    <w:rsid w:val="00E70811"/>
    <w:rsid w:val="00E90A19"/>
    <w:rsid w:val="00E96FF7"/>
    <w:rsid w:val="00EC15B8"/>
    <w:rsid w:val="00EC6477"/>
    <w:rsid w:val="00EC64B4"/>
    <w:rsid w:val="00ED3E8C"/>
    <w:rsid w:val="00ED6775"/>
    <w:rsid w:val="00EF12B6"/>
    <w:rsid w:val="00F03E3D"/>
    <w:rsid w:val="00F21606"/>
    <w:rsid w:val="00F22026"/>
    <w:rsid w:val="00F32D3A"/>
    <w:rsid w:val="00F84608"/>
    <w:rsid w:val="00F92990"/>
    <w:rsid w:val="00FA4F32"/>
    <w:rsid w:val="00FD6E94"/>
    <w:rsid w:val="00FD7049"/>
    <w:rsid w:val="00FE0C4B"/>
    <w:rsid w:val="00FE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2A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EDC"/>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437EDC"/>
    <w:rPr>
      <w:sz w:val="20"/>
      <w:szCs w:val="20"/>
    </w:rPr>
  </w:style>
  <w:style w:type="character" w:customStyle="1" w:styleId="EndnoteTextChar">
    <w:name w:val="Endnote Text Char"/>
    <w:basedOn w:val="DefaultParagraphFont"/>
    <w:link w:val="EndnoteText"/>
    <w:rsid w:val="00437EDC"/>
    <w:rPr>
      <w:rFonts w:ascii="Helvetica" w:hAnsi="Helvetica"/>
    </w:rPr>
  </w:style>
  <w:style w:type="character" w:styleId="EndnoteReference">
    <w:name w:val="endnote reference"/>
    <w:basedOn w:val="DefaultParagraphFont"/>
    <w:rsid w:val="00437EDC"/>
    <w:rPr>
      <w:vertAlign w:val="superscript"/>
    </w:rPr>
  </w:style>
  <w:style w:type="character" w:styleId="CommentReference">
    <w:name w:val="annotation reference"/>
    <w:basedOn w:val="DefaultParagraphFont"/>
    <w:rsid w:val="00FE0C4B"/>
    <w:rPr>
      <w:sz w:val="16"/>
      <w:szCs w:val="16"/>
    </w:rPr>
  </w:style>
  <w:style w:type="paragraph" w:styleId="CommentText">
    <w:name w:val="annotation text"/>
    <w:basedOn w:val="Normal"/>
    <w:link w:val="CommentTextChar"/>
    <w:rsid w:val="00FE0C4B"/>
    <w:rPr>
      <w:sz w:val="20"/>
      <w:szCs w:val="20"/>
    </w:rPr>
  </w:style>
  <w:style w:type="character" w:customStyle="1" w:styleId="CommentTextChar">
    <w:name w:val="Comment Text Char"/>
    <w:basedOn w:val="DefaultParagraphFont"/>
    <w:link w:val="CommentText"/>
    <w:rsid w:val="00FE0C4B"/>
    <w:rPr>
      <w:rFonts w:ascii="Helvetica" w:hAnsi="Helvetica"/>
    </w:rPr>
  </w:style>
  <w:style w:type="paragraph" w:styleId="CommentSubject">
    <w:name w:val="annotation subject"/>
    <w:basedOn w:val="CommentText"/>
    <w:next w:val="CommentText"/>
    <w:link w:val="CommentSubjectChar"/>
    <w:rsid w:val="00FE0C4B"/>
    <w:rPr>
      <w:b/>
      <w:bCs/>
    </w:rPr>
  </w:style>
  <w:style w:type="character" w:customStyle="1" w:styleId="CommentSubjectChar">
    <w:name w:val="Comment Subject Char"/>
    <w:basedOn w:val="CommentTextChar"/>
    <w:link w:val="CommentSubject"/>
    <w:rsid w:val="00FE0C4B"/>
    <w:rPr>
      <w:rFonts w:ascii="Helvetica" w:hAnsi="Helvetica"/>
      <w:b/>
      <w:bCs/>
    </w:rPr>
  </w:style>
  <w:style w:type="paragraph" w:styleId="ListParagraph">
    <w:name w:val="List Paragraph"/>
    <w:basedOn w:val="Normal"/>
    <w:uiPriority w:val="34"/>
    <w:qFormat/>
    <w:rsid w:val="005F4CA5"/>
    <w:pPr>
      <w:ind w:left="720"/>
      <w:contextualSpacing/>
    </w:pPr>
  </w:style>
  <w:style w:type="character" w:styleId="FollowedHyperlink">
    <w:name w:val="FollowedHyperlink"/>
    <w:basedOn w:val="DefaultParagraphFont"/>
    <w:semiHidden/>
    <w:unhideWhenUsed/>
    <w:rsid w:val="00ED6775"/>
    <w:rPr>
      <w:color w:val="800080" w:themeColor="followedHyperlink"/>
      <w:u w:val="single"/>
    </w:rPr>
  </w:style>
  <w:style w:type="paragraph" w:styleId="FootnoteText">
    <w:name w:val="footnote text"/>
    <w:basedOn w:val="Normal"/>
    <w:link w:val="FootnoteTextChar"/>
    <w:semiHidden/>
    <w:unhideWhenUsed/>
    <w:rsid w:val="00EC64B4"/>
    <w:rPr>
      <w:sz w:val="20"/>
      <w:szCs w:val="20"/>
    </w:rPr>
  </w:style>
  <w:style w:type="character" w:customStyle="1" w:styleId="FootnoteTextChar">
    <w:name w:val="Footnote Text Char"/>
    <w:basedOn w:val="DefaultParagraphFont"/>
    <w:link w:val="FootnoteText"/>
    <w:semiHidden/>
    <w:rsid w:val="00EC64B4"/>
    <w:rPr>
      <w:rFonts w:ascii="Helvetica" w:hAnsi="Helvetica"/>
    </w:rPr>
  </w:style>
  <w:style w:type="character" w:styleId="FootnoteReference">
    <w:name w:val="footnote reference"/>
    <w:basedOn w:val="DefaultParagraphFont"/>
    <w:semiHidden/>
    <w:unhideWhenUsed/>
    <w:rsid w:val="00EC64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EDC"/>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437EDC"/>
    <w:rPr>
      <w:sz w:val="20"/>
      <w:szCs w:val="20"/>
    </w:rPr>
  </w:style>
  <w:style w:type="character" w:customStyle="1" w:styleId="EndnoteTextChar">
    <w:name w:val="Endnote Text Char"/>
    <w:basedOn w:val="DefaultParagraphFont"/>
    <w:link w:val="EndnoteText"/>
    <w:rsid w:val="00437EDC"/>
    <w:rPr>
      <w:rFonts w:ascii="Helvetica" w:hAnsi="Helvetica"/>
    </w:rPr>
  </w:style>
  <w:style w:type="character" w:styleId="EndnoteReference">
    <w:name w:val="endnote reference"/>
    <w:basedOn w:val="DefaultParagraphFont"/>
    <w:rsid w:val="00437EDC"/>
    <w:rPr>
      <w:vertAlign w:val="superscript"/>
    </w:rPr>
  </w:style>
  <w:style w:type="character" w:styleId="CommentReference">
    <w:name w:val="annotation reference"/>
    <w:basedOn w:val="DefaultParagraphFont"/>
    <w:rsid w:val="00FE0C4B"/>
    <w:rPr>
      <w:sz w:val="16"/>
      <w:szCs w:val="16"/>
    </w:rPr>
  </w:style>
  <w:style w:type="paragraph" w:styleId="CommentText">
    <w:name w:val="annotation text"/>
    <w:basedOn w:val="Normal"/>
    <w:link w:val="CommentTextChar"/>
    <w:rsid w:val="00FE0C4B"/>
    <w:rPr>
      <w:sz w:val="20"/>
      <w:szCs w:val="20"/>
    </w:rPr>
  </w:style>
  <w:style w:type="character" w:customStyle="1" w:styleId="CommentTextChar">
    <w:name w:val="Comment Text Char"/>
    <w:basedOn w:val="DefaultParagraphFont"/>
    <w:link w:val="CommentText"/>
    <w:rsid w:val="00FE0C4B"/>
    <w:rPr>
      <w:rFonts w:ascii="Helvetica" w:hAnsi="Helvetica"/>
    </w:rPr>
  </w:style>
  <w:style w:type="paragraph" w:styleId="CommentSubject">
    <w:name w:val="annotation subject"/>
    <w:basedOn w:val="CommentText"/>
    <w:next w:val="CommentText"/>
    <w:link w:val="CommentSubjectChar"/>
    <w:rsid w:val="00FE0C4B"/>
    <w:rPr>
      <w:b/>
      <w:bCs/>
    </w:rPr>
  </w:style>
  <w:style w:type="character" w:customStyle="1" w:styleId="CommentSubjectChar">
    <w:name w:val="Comment Subject Char"/>
    <w:basedOn w:val="CommentTextChar"/>
    <w:link w:val="CommentSubject"/>
    <w:rsid w:val="00FE0C4B"/>
    <w:rPr>
      <w:rFonts w:ascii="Helvetica" w:hAnsi="Helvetica"/>
      <w:b/>
      <w:bCs/>
    </w:rPr>
  </w:style>
  <w:style w:type="paragraph" w:styleId="ListParagraph">
    <w:name w:val="List Paragraph"/>
    <w:basedOn w:val="Normal"/>
    <w:uiPriority w:val="34"/>
    <w:qFormat/>
    <w:rsid w:val="005F4CA5"/>
    <w:pPr>
      <w:ind w:left="720"/>
      <w:contextualSpacing/>
    </w:pPr>
  </w:style>
  <w:style w:type="character" w:styleId="FollowedHyperlink">
    <w:name w:val="FollowedHyperlink"/>
    <w:basedOn w:val="DefaultParagraphFont"/>
    <w:semiHidden/>
    <w:unhideWhenUsed/>
    <w:rsid w:val="00ED6775"/>
    <w:rPr>
      <w:color w:val="800080" w:themeColor="followedHyperlink"/>
      <w:u w:val="single"/>
    </w:rPr>
  </w:style>
  <w:style w:type="paragraph" w:styleId="FootnoteText">
    <w:name w:val="footnote text"/>
    <w:basedOn w:val="Normal"/>
    <w:link w:val="FootnoteTextChar"/>
    <w:semiHidden/>
    <w:unhideWhenUsed/>
    <w:rsid w:val="00EC64B4"/>
    <w:rPr>
      <w:sz w:val="20"/>
      <w:szCs w:val="20"/>
    </w:rPr>
  </w:style>
  <w:style w:type="character" w:customStyle="1" w:styleId="FootnoteTextChar">
    <w:name w:val="Footnote Text Char"/>
    <w:basedOn w:val="DefaultParagraphFont"/>
    <w:link w:val="FootnoteText"/>
    <w:semiHidden/>
    <w:rsid w:val="00EC64B4"/>
    <w:rPr>
      <w:rFonts w:ascii="Helvetica" w:hAnsi="Helvetica"/>
    </w:rPr>
  </w:style>
  <w:style w:type="character" w:styleId="FootnoteReference">
    <w:name w:val="footnote reference"/>
    <w:basedOn w:val="DefaultParagraphFont"/>
    <w:semiHidden/>
    <w:unhideWhenUsed/>
    <w:rsid w:val="00EC6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190">
      <w:bodyDiv w:val="1"/>
      <w:marLeft w:val="0"/>
      <w:marRight w:val="0"/>
      <w:marTop w:val="0"/>
      <w:marBottom w:val="0"/>
      <w:divBdr>
        <w:top w:val="none" w:sz="0" w:space="0" w:color="auto"/>
        <w:left w:val="none" w:sz="0" w:space="0" w:color="auto"/>
        <w:bottom w:val="none" w:sz="0" w:space="0" w:color="auto"/>
        <w:right w:val="none" w:sz="0" w:space="0" w:color="auto"/>
      </w:divBdr>
    </w:div>
    <w:div w:id="716202973">
      <w:bodyDiv w:val="1"/>
      <w:marLeft w:val="0"/>
      <w:marRight w:val="0"/>
      <w:marTop w:val="0"/>
      <w:marBottom w:val="0"/>
      <w:divBdr>
        <w:top w:val="none" w:sz="0" w:space="0" w:color="auto"/>
        <w:left w:val="none" w:sz="0" w:space="0" w:color="auto"/>
        <w:bottom w:val="none" w:sz="0" w:space="0" w:color="auto"/>
        <w:right w:val="none" w:sz="0" w:space="0" w:color="auto"/>
      </w:divBdr>
    </w:div>
    <w:div w:id="18995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ada.gov/infoline.htm" TargetMode="External"/><Relationship Id="rId2" Type="http://schemas.openxmlformats.org/officeDocument/2006/relationships/hyperlink" Target="http://thehill.com/blogs/congress-blog/judicial/349835-a-bipartisan-solution-to-stopping-drive-by-lawsuits" TargetMode="External"/><Relationship Id="rId1" Type="http://schemas.openxmlformats.org/officeDocument/2006/relationships/hyperlink" Target="http://www.c-c-d.org/fichiers/Comparison-of-115th-ADA-Notification-BIlls-NDRN-DB-Oct-2017.pdf" TargetMode="External"/><Relationship Id="rId5" Type="http://schemas.openxmlformats.org/officeDocument/2006/relationships/hyperlink" Target="https://www.ada.gov/mediate.htm" TargetMode="External"/><Relationship Id="rId4" Type="http://schemas.openxmlformats.org/officeDocument/2006/relationships/hyperlink" Target="https://www.ada.gov/ta-pubs-pg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602A4B1-6C57-422F-93E0-A2173E93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Melissa Kroeger</cp:lastModifiedBy>
  <cp:revision>3</cp:revision>
  <cp:lastPrinted>2014-05-12T18:17:00Z</cp:lastPrinted>
  <dcterms:created xsi:type="dcterms:W3CDTF">2018-01-10T20:17:00Z</dcterms:created>
  <dcterms:modified xsi:type="dcterms:W3CDTF">2018-01-11T16:21:00Z</dcterms:modified>
</cp:coreProperties>
</file>