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tab/>
        <w:tab/>
        <w:tab/>
        <w:tab/>
      </w:r>
    </w:p>
    <w:p>
      <w:pPr>
        <w:pStyle w:val="Body A"/>
      </w:pPr>
      <w:r>
        <w:drawing>
          <wp:anchor distT="57150" distB="57150" distL="57150" distR="57150" simplePos="0" relativeHeight="251659264" behindDoc="0" locked="0" layoutInCell="1" allowOverlap="1">
            <wp:simplePos x="0" y="0"/>
            <wp:positionH relativeFrom="page">
              <wp:posOffset>2275839</wp:posOffset>
            </wp:positionH>
            <wp:positionV relativeFrom="line">
              <wp:posOffset>311150</wp:posOffset>
            </wp:positionV>
            <wp:extent cx="2377440" cy="1005840"/>
            <wp:effectExtent l="0" t="0" r="0" b="0"/>
            <wp:wrapSquare wrapText="bothSides" distL="57150" distR="57150" distT="57150" distB="57150"/>
            <wp:docPr id="1073741825" name="officeArt object" descr="NFBTX15 Logo&#10;&#10;This graphic contains a map of Texas with the new National Federation of the Blind logo superimposed on the map."/>
            <wp:cNvGraphicFramePr/>
            <a:graphic xmlns:a="http://schemas.openxmlformats.org/drawingml/2006/main">
              <a:graphicData uri="http://schemas.openxmlformats.org/drawingml/2006/picture">
                <pic:pic xmlns:pic="http://schemas.openxmlformats.org/drawingml/2006/picture">
                  <pic:nvPicPr>
                    <pic:cNvPr id="1073741825" name="NFBTX15 Logo&#10;&#10;This graphic contains a map of Texas with the new National Federation of the Blind logo superimposed on the map." descr="NFBTX15 LogoThis graphic contains a map of Texas with the new National Federation of the Blind logo superimposed on the map."/>
                    <pic:cNvPicPr>
                      <a:picLocks noChangeAspect="1"/>
                    </pic:cNvPicPr>
                  </pic:nvPicPr>
                  <pic:blipFill>
                    <a:blip r:embed="rId4">
                      <a:extLst/>
                    </a:blip>
                    <a:stretch>
                      <a:fillRect/>
                    </a:stretch>
                  </pic:blipFill>
                  <pic:spPr>
                    <a:xfrm>
                      <a:off x="0" y="0"/>
                      <a:ext cx="2377440" cy="1005840"/>
                    </a:xfrm>
                    <a:prstGeom prst="rect">
                      <a:avLst/>
                    </a:prstGeom>
                    <a:ln w="12700" cap="flat">
                      <a:noFill/>
                      <a:miter lim="400000"/>
                    </a:ln>
                    <a:effectLst/>
                  </pic:spPr>
                </pic:pic>
              </a:graphicData>
            </a:graphic>
          </wp:anchor>
        </w:drawing>
      </w:r>
    </w:p>
    <w:p>
      <w:pPr>
        <w:pStyle w:val="Body A"/>
      </w:pPr>
    </w:p>
    <w:p>
      <w:pPr>
        <w:pStyle w:val="Body A"/>
        <w:tabs>
          <w:tab w:val="left" w:pos="5660"/>
        </w:tabs>
      </w:pPr>
      <w:r>
        <w:tab/>
      </w:r>
    </w:p>
    <w:p>
      <w:pPr>
        <w:pStyle w:val="Body A"/>
      </w:pPr>
    </w:p>
    <w:p>
      <w:pPr>
        <w:pStyle w:val="Body A"/>
      </w:pPr>
    </w:p>
    <w:p>
      <w:pPr>
        <w:pStyle w:val="Body A"/>
        <w:jc w:val="center"/>
        <w:rPr>
          <w:rFonts w:ascii="Century" w:cs="Century" w:hAnsi="Century" w:eastAsia="Century"/>
          <w:sz w:val="36"/>
          <w:szCs w:val="36"/>
        </w:rPr>
      </w:pPr>
    </w:p>
    <w:p>
      <w:pPr>
        <w:pStyle w:val="Body A"/>
        <w:jc w:val="center"/>
        <w:rPr>
          <w:rFonts w:ascii="Century" w:cs="Century" w:hAnsi="Century" w:eastAsia="Century"/>
          <w:sz w:val="36"/>
          <w:szCs w:val="36"/>
        </w:rPr>
      </w:pPr>
    </w:p>
    <w:p>
      <w:pPr>
        <w:pStyle w:val="Body A"/>
        <w:jc w:val="center"/>
        <w:rPr>
          <w:rFonts w:ascii="Century" w:cs="Century" w:hAnsi="Century" w:eastAsia="Century"/>
          <w:sz w:val="36"/>
          <w:szCs w:val="36"/>
        </w:rPr>
      </w:pPr>
      <w:r>
        <w:rPr>
          <w:rFonts w:ascii="Century" w:cs="Century" w:hAnsi="Century" w:eastAsia="Century"/>
          <w:sz w:val="36"/>
          <w:szCs w:val="36"/>
          <w:rtl w:val="0"/>
          <w:lang w:val="en-US"/>
        </w:rPr>
        <w:t>YOU</w:t>
      </w:r>
      <w:r>
        <w:rPr>
          <w:rFonts w:ascii="Century" w:cs="Century" w:hAnsi="Century" w:eastAsia="Century"/>
          <w:sz w:val="36"/>
          <w:szCs w:val="36"/>
          <w:rtl w:val="0"/>
          <w:lang w:val="en-US"/>
        </w:rPr>
        <w:t>’</w:t>
      </w:r>
      <w:r>
        <w:rPr>
          <w:rFonts w:ascii="Century" w:cs="Century" w:hAnsi="Century" w:eastAsia="Century"/>
          <w:sz w:val="36"/>
          <w:szCs w:val="36"/>
          <w:rtl w:val="0"/>
          <w:lang w:val="en-US"/>
        </w:rPr>
        <w:t>RE INVITED!!!</w:t>
      </w:r>
    </w:p>
    <w:p>
      <w:pPr>
        <w:pStyle w:val="Body A"/>
        <w:jc w:val="center"/>
        <w:rPr>
          <w:rFonts w:ascii="Century" w:cs="Century" w:hAnsi="Century" w:eastAsia="Century"/>
          <w:sz w:val="36"/>
          <w:szCs w:val="36"/>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de-DE"/>
        </w:rPr>
        <w:t xml:space="preserve">WHAT: </w:t>
        <w:tab/>
        <w:tab/>
        <w:t>NFB-NEWSLINE</w:t>
      </w:r>
      <w:r>
        <w:rPr>
          <w:rFonts w:ascii="Times New Roman" w:hAnsi="Times New Roman" w:hint="default"/>
          <w:sz w:val="32"/>
          <w:szCs w:val="32"/>
          <w:rtl w:val="0"/>
          <w:lang w:val="en-US"/>
        </w:rPr>
        <w:t xml:space="preserve">® </w:t>
      </w:r>
      <w:r>
        <w:rPr>
          <w:rFonts w:ascii="Times New Roman" w:hAnsi="Times New Roman"/>
          <w:sz w:val="32"/>
          <w:szCs w:val="32"/>
          <w:rtl w:val="0"/>
          <w:lang w:val="de-DE"/>
        </w:rPr>
        <w:t>OPEN HOUSE</w:t>
      </w:r>
    </w:p>
    <w:p>
      <w:pPr>
        <w:pStyle w:val="Body A"/>
        <w:rPr>
          <w:rFonts w:ascii="Times New Roman" w:cs="Times New Roman" w:hAnsi="Times New Roman" w:eastAsia="Times New Roman"/>
          <w:sz w:val="32"/>
          <w:szCs w:val="32"/>
        </w:rPr>
      </w:pPr>
      <w:r>
        <w:rPr>
          <w:rFonts w:ascii="Times New Roman" w:hAnsi="Times New Roman"/>
          <w:sz w:val="32"/>
          <w:szCs w:val="32"/>
          <w:rtl w:val="0"/>
          <w:lang w:val="de-DE"/>
        </w:rPr>
        <w:t>WHEN:</w:t>
        <w:tab/>
        <w:tab/>
        <w:t>February 22</w:t>
      </w:r>
      <w:r>
        <w:rPr>
          <w:rFonts w:ascii="Times New Roman" w:hAnsi="Times New Roman"/>
          <w:sz w:val="32"/>
          <w:szCs w:val="32"/>
          <w:rtl w:val="0"/>
          <w:lang w:val="en-US"/>
        </w:rPr>
        <w:t>, 2018 from 2-5pm</w:t>
      </w:r>
    </w:p>
    <w:p>
      <w:pPr>
        <w:pStyle w:val="Body A"/>
        <w:rPr>
          <w:rFonts w:ascii="Times New Roman" w:cs="Times New Roman" w:hAnsi="Times New Roman" w:eastAsia="Times New Roman"/>
          <w:sz w:val="32"/>
          <w:szCs w:val="32"/>
        </w:rPr>
      </w:pPr>
      <w:r>
        <w:rPr>
          <w:rFonts w:ascii="Times New Roman" w:hAnsi="Times New Roman"/>
          <w:sz w:val="32"/>
          <w:szCs w:val="32"/>
          <w:rtl w:val="0"/>
          <w:lang w:val="de-DE"/>
        </w:rPr>
        <w:t>WHERE:</w:t>
        <w:tab/>
        <w:tab/>
      </w:r>
      <w:r>
        <w:rPr>
          <w:rFonts w:ascii="Times New Roman" w:hAnsi="Times New Roman"/>
          <w:sz w:val="32"/>
          <w:szCs w:val="32"/>
          <w:rtl w:val="0"/>
          <w:lang w:val="en-US"/>
        </w:rPr>
        <w:t>Stephen F. Austin State University</w:t>
      </w:r>
    </w:p>
    <w:p>
      <w:pPr>
        <w:pStyle w:val="Body A"/>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ab/>
        <w:tab/>
        <w:t>Human Services Building, Room 306</w:t>
      </w:r>
    </w:p>
    <w:p>
      <w:pPr>
        <w:pStyle w:val="Body A"/>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ab/>
        <w:tab/>
        <w:t>2100 N Raguet Street</w:t>
      </w:r>
    </w:p>
    <w:p>
      <w:pPr>
        <w:pStyle w:val="Body A"/>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ab/>
        <w:tab/>
        <w:t>Nacogdoches, TX  79562</w:t>
      </w:r>
    </w:p>
    <w:p>
      <w:pPr>
        <w:pStyle w:val="Body A"/>
        <w:ind w:left="2160" w:firstLine="0"/>
        <w:rPr>
          <w:rFonts w:ascii="Times New Roman" w:cs="Times New Roman" w:hAnsi="Times New Roman" w:eastAsia="Times New Roman"/>
          <w:sz w:val="32"/>
          <w:szCs w:val="32"/>
        </w:rPr>
      </w:pPr>
    </w:p>
    <w:p>
      <w:pPr>
        <w:pStyle w:val="Body A"/>
        <w:ind w:left="2160" w:firstLine="0"/>
        <w:rPr>
          <w:rFonts w:ascii="Century" w:cs="Century" w:hAnsi="Century" w:eastAsia="Century"/>
          <w:sz w:val="36"/>
          <w:szCs w:val="36"/>
        </w:rPr>
      </w:pPr>
    </w:p>
    <w:p>
      <w:pPr>
        <w:pStyle w:val="Body A"/>
        <w:jc w:val="both"/>
        <w:rPr>
          <w:rFonts w:ascii="Times New Roman" w:cs="Times New Roman" w:hAnsi="Times New Roman" w:eastAsia="Times New Roman"/>
          <w:sz w:val="32"/>
          <w:szCs w:val="32"/>
        </w:rPr>
      </w:pPr>
      <w:r>
        <w:rPr>
          <w:rFonts w:ascii="Times New Roman" w:hAnsi="Times New Roman"/>
          <w:sz w:val="32"/>
          <w:szCs w:val="32"/>
          <w:rtl w:val="0"/>
          <w:lang w:val="en-US"/>
        </w:rPr>
        <w:t>Come join members of the National Federation of the Blind of Texas and the Texas Association of Blind Students as we introduce blind and print disabled Nacogdoches area residents to our audio newspaper service. You don</w:t>
      </w:r>
      <w:r>
        <w:rPr>
          <w:rFonts w:ascii="Times New Roman" w:hAnsi="Times New Roman" w:hint="default"/>
          <w:sz w:val="32"/>
          <w:szCs w:val="32"/>
          <w:rtl w:val="0"/>
          <w:lang w:val="en-US"/>
        </w:rPr>
        <w:t>’</w:t>
      </w:r>
      <w:r>
        <w:rPr>
          <w:rFonts w:ascii="Times New Roman" w:hAnsi="Times New Roman"/>
          <w:sz w:val="32"/>
          <w:szCs w:val="32"/>
          <w:rtl w:val="0"/>
          <w:lang w:val="en-US"/>
        </w:rPr>
        <w:t>t need to be a technology whiz to enjoy access to over 400 publications, including: the Tyler Morning Telegraph, the Dallas Morning News, the Houston Chronicle, Texas Monthly, and a dozen more Texas newspapers and magazines. Come learn how you can subscribe to and enjoy this free service. We</w:t>
      </w:r>
      <w:r>
        <w:rPr>
          <w:rFonts w:ascii="Times New Roman" w:hAnsi="Times New Roman" w:hint="default"/>
          <w:sz w:val="32"/>
          <w:szCs w:val="32"/>
          <w:rtl w:val="0"/>
          <w:lang w:val="en-US"/>
        </w:rPr>
        <w:t>’</w:t>
      </w:r>
      <w:r>
        <w:rPr>
          <w:rFonts w:ascii="Times New Roman" w:hAnsi="Times New Roman"/>
          <w:sz w:val="32"/>
          <w:szCs w:val="32"/>
          <w:rtl w:val="0"/>
          <w:lang w:val="en-US"/>
        </w:rPr>
        <w:t>ll sign you up on-site, and everyone who subscribes during this event will have a chance to win a $100 cash prize. Please RSVP no later than February 19, 2018.</w:t>
      </w:r>
    </w:p>
    <w:p>
      <w:pPr>
        <w:pStyle w:val="Body A"/>
        <w:jc w:val="both"/>
        <w:rPr>
          <w:rFonts w:ascii="Times New Roman" w:cs="Times New Roman" w:hAnsi="Times New Roman" w:eastAsia="Times New Roman"/>
          <w:sz w:val="32"/>
          <w:szCs w:val="32"/>
        </w:rPr>
      </w:pPr>
    </w:p>
    <w:p>
      <w:pPr>
        <w:pStyle w:val="Body A"/>
        <w:jc w:val="center"/>
        <w:rPr>
          <w:rFonts w:ascii="Times New Roman" w:cs="Times New Roman" w:hAnsi="Times New Roman" w:eastAsia="Times New Roman"/>
          <w:sz w:val="32"/>
          <w:szCs w:val="32"/>
        </w:rPr>
      </w:pPr>
      <w:r>
        <w:rPr>
          <w:rFonts w:ascii="Times New Roman" w:hAnsi="Times New Roman"/>
          <w:sz w:val="32"/>
          <w:szCs w:val="32"/>
          <w:rtl w:val="0"/>
          <w:lang w:val="en-US"/>
        </w:rPr>
        <w:t>To RSVP, or for more information about the event contact:</w:t>
      </w:r>
    </w:p>
    <w:p>
      <w:pPr>
        <w:pStyle w:val="Body A"/>
        <w:jc w:val="center"/>
        <w:rPr>
          <w:rFonts w:ascii="Times New Roman" w:cs="Times New Roman" w:hAnsi="Times New Roman" w:eastAsia="Times New Roman"/>
          <w:sz w:val="32"/>
          <w:szCs w:val="32"/>
        </w:rPr>
      </w:pPr>
      <w:r>
        <w:rPr>
          <w:rFonts w:ascii="Times New Roman" w:hAnsi="Times New Roman"/>
          <w:sz w:val="32"/>
          <w:szCs w:val="32"/>
          <w:rtl w:val="0"/>
          <w:lang w:val="en-US"/>
        </w:rPr>
        <w:t>Liz Wisecarver, NFB-NEWSLINE</w:t>
      </w:r>
      <w:r>
        <w:rPr>
          <w:rFonts w:ascii="Times New Roman" w:hAnsi="Times New Roman" w:hint="default"/>
          <w:sz w:val="32"/>
          <w:szCs w:val="32"/>
          <w:rtl w:val="0"/>
          <w:lang w:val="en-US"/>
        </w:rPr>
        <w:t>®</w:t>
      </w:r>
      <w:r>
        <w:rPr>
          <w:rFonts w:ascii="Times New Roman" w:hAnsi="Times New Roman"/>
          <w:sz w:val="32"/>
          <w:szCs w:val="32"/>
          <w:rtl w:val="0"/>
          <w:lang w:val="nl-NL"/>
        </w:rPr>
        <w:t xml:space="preserve"> Texas Coordinator</w:t>
      </w:r>
    </w:p>
    <w:p>
      <w:pPr>
        <w:pStyle w:val="Body A"/>
        <w:jc w:val="center"/>
        <w:rPr>
          <w:rStyle w:val="None"/>
          <w:rFonts w:ascii="Times New Roman" w:cs="Times New Roman" w:hAnsi="Times New Roman" w:eastAsia="Times New Roman"/>
          <w:sz w:val="32"/>
          <w:szCs w:val="32"/>
        </w:rPr>
      </w:pPr>
      <w:r>
        <w:rPr>
          <w:rStyle w:val="Hyperlink.0"/>
        </w:rPr>
        <w:fldChar w:fldCharType="begin" w:fldLock="0"/>
      </w:r>
      <w:r>
        <w:rPr>
          <w:rStyle w:val="Hyperlink.0"/>
        </w:rPr>
        <w:instrText xml:space="preserve"> HYPERLINK "mailto:lwisecarver@nfbtx.org"</w:instrText>
      </w:r>
      <w:r>
        <w:rPr>
          <w:rStyle w:val="Hyperlink.0"/>
        </w:rPr>
        <w:fldChar w:fldCharType="separate" w:fldLock="0"/>
      </w:r>
      <w:r>
        <w:rPr>
          <w:rStyle w:val="Hyperlink.0"/>
          <w:rtl w:val="0"/>
          <w:lang w:val="en-US"/>
        </w:rPr>
        <w:t>lwisecarver@nfbtx.org</w:t>
      </w:r>
      <w:r>
        <w:rPr/>
        <w:fldChar w:fldCharType="end" w:fldLock="0"/>
      </w:r>
    </w:p>
    <w:p>
      <w:pPr>
        <w:pStyle w:val="Body A"/>
        <w:jc w:val="center"/>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(346) 704-0145</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563c1"/>
      <w:sz w:val="32"/>
      <w:szCs w:val="32"/>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